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F00D" w14:textId="7C01529C" w:rsidR="00A91DC1" w:rsidRPr="008D5E16" w:rsidRDefault="1D249B1B" w:rsidP="008D5E16">
      <w:pPr>
        <w:pStyle w:val="Title"/>
      </w:pPr>
      <w:r w:rsidRPr="008D5E16">
        <w:rPr>
          <w:b/>
          <w:lang w:bidi="es-ES"/>
        </w:rPr>
        <w:t>Conexión con los SILC:</w:t>
      </w:r>
      <w:r w:rsidRPr="008D5E16">
        <w:rPr>
          <w:lang w:bidi="es-ES"/>
        </w:rPr>
        <w:t xml:space="preserve"> relaciones en red con la Entidad Estatal Designada (DSE)</w:t>
      </w:r>
    </w:p>
    <w:p w14:paraId="6A5EB8A3" w14:textId="59CB1BAA" w:rsidR="1D249B1B" w:rsidRPr="00A91DC1" w:rsidRDefault="00A91DC1" w:rsidP="008D5E16">
      <w:pPr>
        <w:jc w:val="center"/>
      </w:pPr>
      <w:r>
        <w:rPr>
          <w:noProof/>
          <w:lang w:bidi="es-ES"/>
        </w:rPr>
        <w:t>2 de septiembre de 2025</w:t>
      </w:r>
    </w:p>
    <w:p w14:paraId="4BFAED59" w14:textId="77777777" w:rsidR="00AF72FC" w:rsidRDefault="00A91DC1" w:rsidP="00AF72FC">
      <w:pPr>
        <w:pStyle w:val="Heading1"/>
        <w:jc w:val="center"/>
      </w:pPr>
      <w:r>
        <w:rPr>
          <w:noProof/>
        </w:rPr>
        <w:drawing>
          <wp:inline distT="0" distB="0" distL="0" distR="0" wp14:anchorId="398D0B86" wp14:editId="6743769E">
            <wp:extent cx="3125450" cy="1386418"/>
            <wp:effectExtent l="0" t="0" r="0" b="0"/>
            <wp:docPr id="1461855592" name="Picture 1461855592" descr="Logotipo de IL T&amp;TA – Centro de Capacitación y Asistencia Técnica para la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Logotipo de IL T&amp;TA – Centro de Capacitación y Asistencia Técnica para la Vida Independient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450" cy="138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6A26B" w14:textId="77777777" w:rsidR="00AF72FC" w:rsidRDefault="00AF72FC">
      <w:pPr>
        <w:ind w:left="0"/>
      </w:pPr>
      <w:r>
        <w:br w:type="page"/>
      </w:r>
    </w:p>
    <w:p w14:paraId="4506561C" w14:textId="0703350B" w:rsidR="115B0B91" w:rsidRPr="00AF72FC" w:rsidRDefault="45881338" w:rsidP="00AF72FC">
      <w:pPr>
        <w:pStyle w:val="Heading1"/>
      </w:pPr>
      <w:r w:rsidRPr="00AF72FC">
        <w:lastRenderedPageBreak/>
        <w:t>Antes de comenzar</w:t>
      </w:r>
    </w:p>
    <w:p w14:paraId="0328C6D3" w14:textId="7F382F99" w:rsidR="115B0B91" w:rsidRPr="00E22AFF" w:rsidRDefault="45881338" w:rsidP="00E22AFF">
      <w:r w:rsidRPr="00E22AFF">
        <w:rPr>
          <w:lang w:bidi="es-ES"/>
        </w:rPr>
        <w:t>Los intérpretes de Lengua de Señas Americana (ASL) y español están disponibles e identificados.</w:t>
      </w:r>
    </w:p>
    <w:p w14:paraId="5AE7E5E5" w14:textId="1F6DD0E6" w:rsidR="115B0B91" w:rsidRPr="00E22AFF" w:rsidRDefault="45881338" w:rsidP="00E22AFF">
      <w:r w:rsidRPr="00E22AFF">
        <w:rPr>
          <w:lang w:bidi="es-ES"/>
        </w:rPr>
        <w:t>Acceda a los subtítulos haciendo clic en el botón “CC” ubicado en la parte inferior de la ventana de Zoom.</w:t>
      </w:r>
    </w:p>
    <w:p w14:paraId="3000FFAE" w14:textId="3F7C49CE" w:rsidR="115B0B91" w:rsidRPr="00E22AFF" w:rsidRDefault="45881338" w:rsidP="00E22AFF">
      <w:r w:rsidRPr="00E22AFF">
        <w:rPr>
          <w:lang w:bidi="es-ES"/>
        </w:rPr>
        <w:t>Para hacer preguntas, utilice las funciones de “levantar la mano” o el “chat” de Zoom.</w:t>
      </w:r>
    </w:p>
    <w:p w14:paraId="48F0B4C6" w14:textId="1854546D" w:rsidR="115B0B91" w:rsidRPr="00E22AFF" w:rsidRDefault="45881338" w:rsidP="00E22AFF">
      <w:r w:rsidRPr="00E22AFF">
        <w:rPr>
          <w:lang w:bidi="es-ES"/>
        </w:rPr>
        <w:t>Antes de hablar, recuerde mencionar su nombre y organización a la que pertenece.</w:t>
      </w:r>
    </w:p>
    <w:p w14:paraId="503818BD" w14:textId="72BB9002" w:rsidR="115B0B91" w:rsidRPr="00E22AFF" w:rsidRDefault="45881338" w:rsidP="00E22AFF">
      <w:r w:rsidRPr="00E22AFF">
        <w:rPr>
          <w:lang w:bidi="es-ES"/>
        </w:rPr>
        <w:t>Envíe un mensaje a nuestro equipo de IL T&amp;TA a través del Chat si tiene dificultades con la llamada de hoy.</w:t>
      </w:r>
    </w:p>
    <w:p w14:paraId="65E8AFD4" w14:textId="3CB24908" w:rsidR="7B422999" w:rsidRPr="00A91DC1" w:rsidRDefault="45881338" w:rsidP="00254A09">
      <w:r>
        <w:rPr>
          <w:lang w:bidi="es-ES"/>
        </w:rPr>
        <w:t xml:space="preserve">Complete la encuesta al final de la capacitación. </w:t>
      </w:r>
      <w:r w:rsidR="7B422999">
        <w:rPr>
          <w:lang w:bidi="es-ES"/>
        </w:rPr>
        <w:br w:type="page"/>
      </w:r>
    </w:p>
    <w:p w14:paraId="7CD7ACC3" w14:textId="14E4152D" w:rsidR="008D5E16" w:rsidRDefault="008D5E16" w:rsidP="00AF72FC">
      <w:pPr>
        <w:pStyle w:val="Heading1"/>
      </w:pPr>
      <w:r>
        <w:lastRenderedPageBreak/>
        <w:t xml:space="preserve">Asistencia </w:t>
      </w:r>
      <w:r w:rsidR="00AF72FC">
        <w:t>T</w:t>
      </w:r>
      <w:r>
        <w:t>écnica</w:t>
      </w:r>
    </w:p>
    <w:p w14:paraId="248A914E" w14:textId="704C9719" w:rsidR="0654867D" w:rsidRPr="00AF72FC" w:rsidRDefault="0654867D" w:rsidP="47096677">
      <w:pPr>
        <w:pStyle w:val="Heading2"/>
        <w:rPr>
          <w:sz w:val="28"/>
          <w:szCs w:val="28"/>
        </w:rPr>
      </w:pPr>
      <w:r w:rsidRPr="00AF72FC">
        <w:rPr>
          <w:sz w:val="28"/>
          <w:szCs w:val="28"/>
          <w:lang w:bidi="es-ES"/>
        </w:rPr>
        <w:t xml:space="preserve">Por qué es importante la autonomía del Consejo Estatal para la Vida Independiente (SILC) de la </w:t>
      </w:r>
      <w:r w:rsidR="00AF72FC" w:rsidRPr="00AF72FC">
        <w:rPr>
          <w:sz w:val="28"/>
          <w:szCs w:val="28"/>
          <w:lang w:bidi="es-ES"/>
        </w:rPr>
        <w:t xml:space="preserve">Entidad </w:t>
      </w:r>
      <w:r w:rsidR="00AF72FC">
        <w:rPr>
          <w:sz w:val="28"/>
          <w:szCs w:val="28"/>
          <w:lang w:bidi="es-ES"/>
        </w:rPr>
        <w:t>E</w:t>
      </w:r>
      <w:r w:rsidR="00AF72FC" w:rsidRPr="00AF72FC">
        <w:rPr>
          <w:sz w:val="28"/>
          <w:szCs w:val="28"/>
          <w:lang w:bidi="es-ES"/>
        </w:rPr>
        <w:t xml:space="preserve">statal </w:t>
      </w:r>
      <w:r w:rsidR="00AF72FC">
        <w:rPr>
          <w:sz w:val="28"/>
          <w:szCs w:val="28"/>
          <w:lang w:bidi="es-ES"/>
        </w:rPr>
        <w:t>D</w:t>
      </w:r>
      <w:r w:rsidR="00AF72FC" w:rsidRPr="00AF72FC">
        <w:rPr>
          <w:sz w:val="28"/>
          <w:szCs w:val="28"/>
          <w:lang w:bidi="es-ES"/>
        </w:rPr>
        <w:t>esignada</w:t>
      </w:r>
      <w:r w:rsidR="00AF72FC" w:rsidRPr="00AF72FC">
        <w:rPr>
          <w:sz w:val="28"/>
          <w:szCs w:val="28"/>
          <w:lang w:bidi="es-ES"/>
        </w:rPr>
        <w:t xml:space="preserve"> </w:t>
      </w:r>
      <w:r w:rsidR="00AF72FC">
        <w:rPr>
          <w:sz w:val="28"/>
          <w:szCs w:val="28"/>
          <w:lang w:bidi="es-ES"/>
        </w:rPr>
        <w:t>(</w:t>
      </w:r>
      <w:r w:rsidRPr="00AF72FC">
        <w:rPr>
          <w:sz w:val="28"/>
          <w:szCs w:val="28"/>
          <w:lang w:bidi="es-ES"/>
        </w:rPr>
        <w:t>DSE</w:t>
      </w:r>
      <w:r w:rsidR="00AF72FC">
        <w:rPr>
          <w:sz w:val="28"/>
          <w:szCs w:val="28"/>
          <w:lang w:bidi="es-ES"/>
        </w:rPr>
        <w:t>)</w:t>
      </w:r>
    </w:p>
    <w:p w14:paraId="1EB30266" w14:textId="64D083C4" w:rsidR="00254A09" w:rsidRPr="00254A09" w:rsidRDefault="00254A09" w:rsidP="00AF72FC">
      <w:pPr>
        <w:pStyle w:val="Heading1"/>
      </w:pPr>
      <w:r w:rsidRPr="00254A09">
        <w:t xml:space="preserve">1329, </w:t>
      </w:r>
      <w:r w:rsidR="00AF72FC">
        <w:t>S</w:t>
      </w:r>
      <w:r w:rsidRPr="00254A09">
        <w:t>ubparte B</w:t>
      </w:r>
    </w:p>
    <w:p w14:paraId="546FB93A" w14:textId="77777777" w:rsidR="00254A09" w:rsidRPr="00254A09" w:rsidRDefault="00254A09" w:rsidP="00254A09">
      <w:r w:rsidRPr="00254A09">
        <w:rPr>
          <w:lang w:bidi="es-ES"/>
        </w:rPr>
        <w:t>El SILC no se establecerá como una entidad dentro de una agencia estatal, incluida la DSE. El SILC será independiente y autónomo de la DSE y de todas las demás agencias estatales.</w:t>
      </w:r>
    </w:p>
    <w:p w14:paraId="5D21CC6C" w14:textId="77777777" w:rsidR="00254A09" w:rsidRPr="00254A09" w:rsidRDefault="00254A09" w:rsidP="00254A09">
      <w:r w:rsidRPr="00254A09">
        <w:rPr>
          <w:lang w:bidi="es-ES"/>
        </w:rPr>
        <w:t>No se pueden incluir condiciones o requisitos en el plan de recursos del SILC que puedan comprometer la independencia del SILC.</w:t>
      </w:r>
    </w:p>
    <w:p w14:paraId="54172011" w14:textId="33795A24" w:rsidR="63AF824F" w:rsidRPr="00A91DC1" w:rsidRDefault="00254A09" w:rsidP="00232458">
      <w:pPr>
        <w:pStyle w:val="Heading2"/>
        <w:rPr>
          <w:lang w:bidi="es-ES"/>
        </w:rPr>
      </w:pPr>
      <w:r w:rsidRPr="00254A09">
        <w:rPr>
          <w:lang w:bidi="es-ES"/>
        </w:rPr>
        <w:t>El SILC es responsable del gasto adecuado de fondos y del uso de recursos que recibe en virtud del plan de recursos.</w:t>
      </w:r>
      <w:r w:rsidR="00AF72FC">
        <w:rPr>
          <w:lang w:bidi="es-ES"/>
        </w:rPr>
        <w:br w:type="page"/>
      </w:r>
    </w:p>
    <w:p w14:paraId="183EF966" w14:textId="6A135F87" w:rsidR="330B65BD" w:rsidRPr="00AF72FC" w:rsidRDefault="330B65BD" w:rsidP="00AF72FC">
      <w:pPr>
        <w:pStyle w:val="Heading1"/>
      </w:pPr>
      <w:r w:rsidRPr="00AF72FC">
        <w:lastRenderedPageBreak/>
        <w:t>Componentes de instrucción técnica (Equipo de asistencia técnica) (cont.)</w:t>
      </w:r>
    </w:p>
    <w:p w14:paraId="4A9A4E82" w14:textId="77777777" w:rsidR="008D5E16" w:rsidRPr="00AF72FC" w:rsidRDefault="008D5E16" w:rsidP="008D5E16">
      <w:pPr>
        <w:rPr>
          <w:b/>
          <w:bCs/>
          <w:sz w:val="24"/>
          <w:szCs w:val="24"/>
        </w:rPr>
      </w:pPr>
      <w:r w:rsidRPr="00AF72FC">
        <w:rPr>
          <w:b/>
          <w:sz w:val="24"/>
          <w:szCs w:val="24"/>
          <w:lang w:bidi="es-ES"/>
        </w:rPr>
        <w:t>1. Autoridad legal (Título 45 del Código de Regulaciones Federales de los EE. UU [CFR], parte 1329)</w:t>
      </w:r>
    </w:p>
    <w:p w14:paraId="1CC29D82" w14:textId="68E39E27" w:rsidR="008D5E16" w:rsidRPr="008B5CEF" w:rsidRDefault="008D5E16" w:rsidP="00AF72FC">
      <w:pPr>
        <w:numPr>
          <w:ilvl w:val="0"/>
          <w:numId w:val="13"/>
        </w:numPr>
        <w:tabs>
          <w:tab w:val="clear" w:pos="720"/>
          <w:tab w:val="num" w:pos="426"/>
        </w:tabs>
        <w:ind w:left="270" w:hanging="270"/>
        <w:rPr>
          <w:sz w:val="23"/>
          <w:szCs w:val="23"/>
        </w:rPr>
      </w:pPr>
      <w:r w:rsidRPr="008B5CEF">
        <w:rPr>
          <w:sz w:val="23"/>
          <w:szCs w:val="23"/>
          <w:lang w:bidi="es-ES"/>
        </w:rPr>
        <w:t xml:space="preserve">Mandatos de independencia (el SILC no puede ser parte de la DSE): </w:t>
      </w:r>
      <w:hyperlink r:id="rId12">
        <w:r w:rsidRPr="008B5CEF">
          <w:rPr>
            <w:rStyle w:val="Hyperlink"/>
            <w:sz w:val="23"/>
            <w:szCs w:val="23"/>
            <w:lang w:bidi="es-ES"/>
          </w:rPr>
          <w:t>§ 1329.14</w:t>
        </w:r>
      </w:hyperlink>
    </w:p>
    <w:p w14:paraId="71213441" w14:textId="0110C5D9" w:rsidR="008D5E16" w:rsidRPr="008B5CEF" w:rsidRDefault="008D5E16" w:rsidP="00AF72FC">
      <w:pPr>
        <w:numPr>
          <w:ilvl w:val="0"/>
          <w:numId w:val="13"/>
        </w:numPr>
        <w:tabs>
          <w:tab w:val="clear" w:pos="720"/>
          <w:tab w:val="num" w:pos="426"/>
        </w:tabs>
        <w:ind w:left="270" w:hanging="270"/>
        <w:rPr>
          <w:sz w:val="23"/>
          <w:szCs w:val="23"/>
        </w:rPr>
      </w:pPr>
      <w:r w:rsidRPr="008B5CEF">
        <w:rPr>
          <w:sz w:val="23"/>
          <w:szCs w:val="23"/>
          <w:lang w:bidi="es-ES"/>
        </w:rPr>
        <w:t xml:space="preserve">Roles definidos de la DSE: </w:t>
      </w:r>
      <w:hyperlink r:id="rId13">
        <w:r w:rsidRPr="008B5CEF">
          <w:rPr>
            <w:rStyle w:val="Hyperlink"/>
            <w:sz w:val="23"/>
            <w:szCs w:val="23"/>
            <w:lang w:bidi="es-ES"/>
          </w:rPr>
          <w:t>§ 1329.12</w:t>
        </w:r>
      </w:hyperlink>
    </w:p>
    <w:p w14:paraId="21DE8C03" w14:textId="64D61D55" w:rsidR="008D5E16" w:rsidRPr="008B5CEF" w:rsidRDefault="008D5E16" w:rsidP="00AF72FC">
      <w:pPr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270" w:hanging="270"/>
        <w:rPr>
          <w:sz w:val="23"/>
          <w:szCs w:val="23"/>
        </w:rPr>
      </w:pPr>
      <w:r w:rsidRPr="008B5CEF">
        <w:rPr>
          <w:rStyle w:val="BulletedListChar"/>
          <w:sz w:val="23"/>
          <w:szCs w:val="23"/>
        </w:rPr>
        <w:t>Obligaciones, competencias y planificación conjunta de recursos del SILC</w:t>
      </w:r>
      <w:r w:rsidRPr="008B5CEF">
        <w:rPr>
          <w:sz w:val="23"/>
          <w:szCs w:val="23"/>
          <w:lang w:bidi="es-ES"/>
        </w:rPr>
        <w:t xml:space="preserve"> con la DSE: </w:t>
      </w:r>
      <w:hyperlink r:id="rId14">
        <w:r w:rsidRPr="008B5CEF">
          <w:rPr>
            <w:rStyle w:val="Hyperlink"/>
            <w:sz w:val="23"/>
            <w:szCs w:val="23"/>
            <w:lang w:bidi="es-ES"/>
          </w:rPr>
          <w:t>§ 1329.15</w:t>
        </w:r>
      </w:hyperlink>
    </w:p>
    <w:p w14:paraId="2DC351A5" w14:textId="67A0BEA1" w:rsidR="5DE1E0DA" w:rsidRPr="00AF72FC" w:rsidRDefault="5DE1E0DA" w:rsidP="75CBF6E5">
      <w:pPr>
        <w:rPr>
          <w:b/>
          <w:bCs/>
          <w:sz w:val="24"/>
          <w:szCs w:val="24"/>
        </w:rPr>
      </w:pPr>
      <w:r w:rsidRPr="003D4E4F">
        <w:rPr>
          <w:b/>
          <w:sz w:val="22"/>
          <w:szCs w:val="22"/>
          <w:lang w:bidi="es-ES"/>
        </w:rPr>
        <w:t xml:space="preserve">2. </w:t>
      </w:r>
      <w:r w:rsidRPr="00AF72FC">
        <w:rPr>
          <w:b/>
          <w:sz w:val="24"/>
          <w:szCs w:val="24"/>
          <w:lang w:bidi="es-ES"/>
        </w:rPr>
        <w:t>Desarrollo y firmas del SPIL</w:t>
      </w:r>
    </w:p>
    <w:p w14:paraId="477C5452" w14:textId="3F5A7256" w:rsidR="00AF72FC" w:rsidRPr="008B5CEF" w:rsidRDefault="5DE1E0DA" w:rsidP="003D4E4F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rPr>
          <w:sz w:val="23"/>
          <w:szCs w:val="23"/>
        </w:rPr>
      </w:pPr>
      <w:r w:rsidRPr="008B5CEF">
        <w:rPr>
          <w:rStyle w:val="BulletedListChar"/>
          <w:sz w:val="23"/>
          <w:szCs w:val="23"/>
        </w:rPr>
        <w:t xml:space="preserve">Requisitos según la Ley de Innovación y Oportunidad Laboral (WIOA): redacción conjunta con los Centros para la Vida Independiente (CIL), aportes públicos, firmantes </w:t>
      </w:r>
      <w:proofErr w:type="gramStart"/>
      <w:r w:rsidRPr="008B5CEF">
        <w:rPr>
          <w:rStyle w:val="BulletedListChar"/>
          <w:sz w:val="23"/>
          <w:szCs w:val="23"/>
        </w:rPr>
        <w:t>requeridos</w:t>
      </w:r>
      <w:r w:rsidR="00AF72FC" w:rsidRPr="008B5CEF">
        <w:rPr>
          <w:rStyle w:val="BulletedListChar"/>
          <w:sz w:val="23"/>
          <w:szCs w:val="23"/>
        </w:rPr>
        <w:t xml:space="preserve"> </w:t>
      </w:r>
      <w:r w:rsidR="00AF72FC" w:rsidRPr="008B5CEF">
        <w:rPr>
          <w:rStyle w:val="BulletedListChar"/>
          <w:sz w:val="23"/>
          <w:szCs w:val="23"/>
        </w:rPr>
        <w:t xml:space="preserve"> –</w:t>
      </w:r>
      <w:proofErr w:type="gramEnd"/>
      <w:r w:rsidR="00AF72FC" w:rsidRPr="008B5CEF">
        <w:rPr>
          <w:sz w:val="23"/>
          <w:szCs w:val="23"/>
        </w:rPr>
        <w:t xml:space="preserve">  </w:t>
      </w:r>
      <w:hyperlink r:id="rId15">
        <w:r w:rsidR="00AF72FC" w:rsidRPr="008B5CEF">
          <w:rPr>
            <w:rStyle w:val="Hyperlink"/>
            <w:sz w:val="23"/>
            <w:szCs w:val="23"/>
          </w:rPr>
          <w:t>§ 13</w:t>
        </w:r>
        <w:r w:rsidR="00AF72FC" w:rsidRPr="008B5CEF">
          <w:rPr>
            <w:rStyle w:val="Hyperlink"/>
            <w:sz w:val="23"/>
            <w:szCs w:val="23"/>
          </w:rPr>
          <w:t>2</w:t>
        </w:r>
        <w:r w:rsidR="00AF72FC" w:rsidRPr="008B5CEF">
          <w:rPr>
            <w:rStyle w:val="Hyperlink"/>
            <w:sz w:val="23"/>
            <w:szCs w:val="23"/>
          </w:rPr>
          <w:t>9.17</w:t>
        </w:r>
      </w:hyperlink>
    </w:p>
    <w:p w14:paraId="0BE1169A" w14:textId="77777777" w:rsidR="00AF72FC" w:rsidRDefault="00AF72FC">
      <w:pPr>
        <w:ind w:left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2AEAE76" w14:textId="22E93CCF" w:rsidR="6F8EDFAA" w:rsidRPr="00AF72FC" w:rsidRDefault="6F8EDFAA" w:rsidP="00AF72FC">
      <w:pPr>
        <w:pStyle w:val="Heading1"/>
      </w:pPr>
      <w:r w:rsidRPr="00AF72FC">
        <w:lastRenderedPageBreak/>
        <w:t>Componentes de instrucción técnica (Equipo de asistencia técnica) (cont.)</w:t>
      </w:r>
    </w:p>
    <w:p w14:paraId="0284EF74" w14:textId="6FB00106" w:rsidR="5DE1E0DA" w:rsidRPr="008B5CEF" w:rsidRDefault="5DE1E0DA" w:rsidP="00AF72FC">
      <w:pPr>
        <w:pStyle w:val="BulletedList"/>
        <w:rPr>
          <w:sz w:val="23"/>
          <w:szCs w:val="23"/>
        </w:rPr>
      </w:pPr>
      <w:r w:rsidRPr="008B5CEF">
        <w:rPr>
          <w:sz w:val="23"/>
          <w:szCs w:val="23"/>
        </w:rPr>
        <w:t>La firma de la DSE implica su aceptación del rol y responsabilidades de la DSE, no la aprobación del SPIL</w:t>
      </w:r>
    </w:p>
    <w:p w14:paraId="597581D3" w14:textId="77777777" w:rsidR="008D5E16" w:rsidRPr="008D5E16" w:rsidRDefault="008D5E16" w:rsidP="008D5E16">
      <w:pPr>
        <w:rPr>
          <w:b/>
          <w:bCs/>
        </w:rPr>
      </w:pPr>
      <w:r w:rsidRPr="75CBF6E5">
        <w:rPr>
          <w:b/>
          <w:lang w:bidi="es-ES"/>
        </w:rPr>
        <w:t>3. Garantías operativas y mejores prácticas</w:t>
      </w:r>
    </w:p>
    <w:p w14:paraId="73EB3ACA" w14:textId="3168FEC4" w:rsidR="45E0E486" w:rsidRPr="008B5CEF" w:rsidRDefault="45E0E486" w:rsidP="00AF72FC">
      <w:pPr>
        <w:pStyle w:val="BulletedList"/>
        <w:rPr>
          <w:rFonts w:eastAsia="Montserrat" w:cs="Montserrat"/>
          <w:sz w:val="23"/>
          <w:szCs w:val="23"/>
        </w:rPr>
      </w:pPr>
      <w:r w:rsidRPr="008B5CEF">
        <w:rPr>
          <w:sz w:val="23"/>
          <w:szCs w:val="23"/>
        </w:rPr>
        <w:t>Garantía de la autonomía y respecto de la capacidad del SILC: pautas de los</w:t>
      </w:r>
      <w:r w:rsidRPr="008B5CEF">
        <w:rPr>
          <w:rFonts w:eastAsia="Montserrat" w:cs="Montserrat"/>
          <w:sz w:val="23"/>
          <w:szCs w:val="23"/>
        </w:rPr>
        <w:t xml:space="preserve"> </w:t>
      </w:r>
      <w:hyperlink r:id="rId16">
        <w:r w:rsidRPr="008B5CEF">
          <w:rPr>
            <w:rStyle w:val="Hyperlink"/>
            <w:rFonts w:eastAsia="Montserrat" w:cs="Montserrat"/>
            <w:sz w:val="23"/>
            <w:szCs w:val="23"/>
          </w:rPr>
          <w:t>Indicadores y Garantías del Consejo Estatal para la Vida Independiente y Garantías de la Entidad Estatal Designada</w:t>
        </w:r>
      </w:hyperlink>
      <w:r w:rsidRPr="008B5CEF">
        <w:rPr>
          <w:rFonts w:eastAsia="Montserrat" w:cs="Montserrat"/>
          <w:sz w:val="23"/>
          <w:szCs w:val="23"/>
        </w:rPr>
        <w:t>.</w:t>
      </w:r>
    </w:p>
    <w:p w14:paraId="4D55877B" w14:textId="5B33C5CC" w:rsidR="7B422999" w:rsidRDefault="7B422999">
      <w:r>
        <w:rPr>
          <w:lang w:bidi="es-ES"/>
        </w:rPr>
        <w:br w:type="page"/>
      </w:r>
    </w:p>
    <w:p w14:paraId="0750A864" w14:textId="706295B6" w:rsidR="0969A8EE" w:rsidRDefault="0969A8EE" w:rsidP="00AF72FC">
      <w:pPr>
        <w:pStyle w:val="Heading1"/>
      </w:pPr>
      <w:r>
        <w:lastRenderedPageBreak/>
        <w:t xml:space="preserve">Agenda de hoy: </w:t>
      </w:r>
    </w:p>
    <w:p w14:paraId="3F597378" w14:textId="77777777" w:rsidR="0969A8EE" w:rsidRDefault="0969A8EE" w:rsidP="47096677">
      <w:pPr>
        <w:pStyle w:val="Heading3"/>
      </w:pPr>
      <w:r>
        <w:rPr>
          <w:lang w:bidi="es-ES"/>
        </w:rPr>
        <w:t>Conclusiones clave:</w:t>
      </w:r>
    </w:p>
    <w:p w14:paraId="4C83F832" w14:textId="77777777" w:rsidR="0969A8EE" w:rsidRPr="00AF72FC" w:rsidRDefault="0969A8EE" w:rsidP="470966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F72FC">
        <w:rPr>
          <w:sz w:val="24"/>
          <w:szCs w:val="24"/>
          <w:lang w:bidi="es-ES"/>
        </w:rPr>
        <w:t>Aprender cómo interactúan el Consejo Estatal para la Vida Independiente (SILC) y la DSE (Entidad Estatal Designada)</w:t>
      </w:r>
    </w:p>
    <w:p w14:paraId="0D991806" w14:textId="77777777" w:rsidR="0969A8EE" w:rsidRPr="00AF72FC" w:rsidRDefault="0969A8EE" w:rsidP="470966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F72FC">
        <w:rPr>
          <w:sz w:val="24"/>
          <w:szCs w:val="24"/>
          <w:lang w:bidi="es-ES"/>
        </w:rPr>
        <w:t>Entender cómo esta interacción garantiza la autonomía del SILC</w:t>
      </w:r>
    </w:p>
    <w:p w14:paraId="08EAB9D6" w14:textId="77777777" w:rsidR="0969A8EE" w:rsidRDefault="0969A8EE" w:rsidP="47096677">
      <w:pPr>
        <w:pStyle w:val="Heading3"/>
      </w:pPr>
      <w:r>
        <w:rPr>
          <w:lang w:bidi="es-ES"/>
        </w:rPr>
        <w:t>Formato de aprender y compartir:</w:t>
      </w:r>
    </w:p>
    <w:p w14:paraId="7CC11C3C" w14:textId="77777777" w:rsidR="0969A8EE" w:rsidRPr="00AF72FC" w:rsidRDefault="0969A8EE" w:rsidP="00AF72FC">
      <w:pPr>
        <w:pStyle w:val="BulletedList"/>
        <w:ind w:left="720"/>
        <w:rPr>
          <w:sz w:val="24"/>
          <w:szCs w:val="24"/>
        </w:rPr>
      </w:pPr>
      <w:r w:rsidRPr="00AF72FC">
        <w:rPr>
          <w:sz w:val="24"/>
          <w:szCs w:val="24"/>
        </w:rPr>
        <w:t>Aproximadamente 20 minutos de contenido destacado</w:t>
      </w:r>
    </w:p>
    <w:p w14:paraId="579E425E" w14:textId="77777777" w:rsidR="0969A8EE" w:rsidRPr="00AF72FC" w:rsidRDefault="0969A8EE" w:rsidP="00AF72FC">
      <w:pPr>
        <w:pStyle w:val="BulletedList"/>
        <w:ind w:left="720"/>
        <w:rPr>
          <w:sz w:val="24"/>
          <w:szCs w:val="24"/>
        </w:rPr>
      </w:pPr>
      <w:r w:rsidRPr="00AF72FC">
        <w:rPr>
          <w:sz w:val="24"/>
          <w:szCs w:val="24"/>
        </w:rPr>
        <w:t>40 minutos de debate entre pares</w:t>
      </w:r>
    </w:p>
    <w:p w14:paraId="1229DD25" w14:textId="3C832B62" w:rsidR="0969A8EE" w:rsidRDefault="0969A8EE" w:rsidP="00AF72FC">
      <w:pPr>
        <w:pStyle w:val="Heading1"/>
      </w:pPr>
      <w:r>
        <w:t>Objetivo general:</w:t>
      </w:r>
    </w:p>
    <w:p w14:paraId="6D762F9D" w14:textId="631F0D6F" w:rsidR="0969A8EE" w:rsidRDefault="0969A8EE" w:rsidP="47096677">
      <w:pPr>
        <w:pStyle w:val="NoSpace"/>
      </w:pPr>
      <w:r>
        <w:rPr>
          <w:lang w:bidi="es-ES"/>
        </w:rPr>
        <w:t>¡Aprendamos juntos y unos de otros!</w:t>
      </w:r>
    </w:p>
    <w:p w14:paraId="1188134B" w14:textId="36910CAD" w:rsidR="0969A8EE" w:rsidRDefault="0969A8EE" w:rsidP="47096677">
      <w:pPr>
        <w:rPr>
          <w:rFonts w:eastAsia="Aptos" w:cs="Aptos"/>
        </w:rPr>
      </w:pPr>
      <w:r>
        <w:rPr>
          <w:lang w:bidi="es-ES"/>
        </w:rPr>
        <w:br w:type="page"/>
      </w:r>
    </w:p>
    <w:p w14:paraId="49691DE4" w14:textId="02CC6660" w:rsidR="0969A8EE" w:rsidRDefault="0969A8EE" w:rsidP="00AF72FC">
      <w:pPr>
        <w:pStyle w:val="Style1"/>
      </w:pPr>
      <w:r>
        <w:lastRenderedPageBreak/>
        <w:t>Presentadores y facilitadores</w:t>
      </w:r>
    </w:p>
    <w:p w14:paraId="6C504C8D" w14:textId="545921E2" w:rsidR="0969A8EE" w:rsidRDefault="0969A8EE" w:rsidP="47096677">
      <w:pPr>
        <w:pStyle w:val="NoSpace"/>
        <w:rPr>
          <w:b/>
          <w:bCs/>
          <w:sz w:val="28"/>
          <w:szCs w:val="28"/>
        </w:rPr>
      </w:pPr>
      <w:r w:rsidRPr="47096677">
        <w:rPr>
          <w:b/>
          <w:sz w:val="28"/>
          <w:szCs w:val="28"/>
          <w:lang w:bidi="es-ES"/>
        </w:rPr>
        <w:t>Presentadores pares:</w:t>
      </w:r>
    </w:p>
    <w:p w14:paraId="41B4B569" w14:textId="469BED82" w:rsidR="0969A8EE" w:rsidRDefault="0969A8EE" w:rsidP="47096677">
      <w:pPr>
        <w:pStyle w:val="NoSpace"/>
      </w:pPr>
      <w:r w:rsidRPr="47096677">
        <w:rPr>
          <w:b/>
          <w:lang w:bidi="es-ES"/>
        </w:rPr>
        <w:t>Mellie Adu</w:t>
      </w:r>
    </w:p>
    <w:p w14:paraId="1AFA5E24" w14:textId="710325ED" w:rsidR="0969A8EE" w:rsidRDefault="0969A8EE" w:rsidP="47096677">
      <w:pPr>
        <w:pStyle w:val="NoSpace"/>
      </w:pPr>
      <w:r>
        <w:rPr>
          <w:lang w:bidi="es-ES"/>
        </w:rPr>
        <w:t>Directora Ejecutiva de Estrategia e Innovación</w:t>
      </w:r>
    </w:p>
    <w:p w14:paraId="62193C33" w14:textId="6896099C" w:rsidR="0969A8EE" w:rsidRDefault="0969A8EE" w:rsidP="47096677">
      <w:pPr>
        <w:pStyle w:val="NoSpace"/>
      </w:pPr>
      <w:r>
        <w:rPr>
          <w:lang w:bidi="es-ES"/>
        </w:rPr>
        <w:t>Consejo Estatal para la Vida Independiente de Arizona (AZSILC)</w:t>
      </w:r>
    </w:p>
    <w:p w14:paraId="01FEC079" w14:textId="0F6613F2" w:rsidR="0969A8EE" w:rsidRDefault="0969A8EE" w:rsidP="47096677">
      <w:pPr>
        <w:pStyle w:val="NoSpace"/>
      </w:pPr>
      <w:hyperlink r:id="rId17">
        <w:r w:rsidRPr="47096677">
          <w:rPr>
            <w:rStyle w:val="Hyperlink"/>
            <w:lang w:bidi="es-ES"/>
          </w:rPr>
          <w:t>mellie@azsilc.org</w:t>
        </w:r>
      </w:hyperlink>
    </w:p>
    <w:p w14:paraId="0DDE5B48" w14:textId="77777777" w:rsidR="47096677" w:rsidRDefault="47096677" w:rsidP="47096677">
      <w:pPr>
        <w:pStyle w:val="NoSpace"/>
      </w:pPr>
    </w:p>
    <w:p w14:paraId="1BC0DD30" w14:textId="18736404" w:rsidR="0969A8EE" w:rsidRDefault="0969A8EE" w:rsidP="47096677">
      <w:pPr>
        <w:pStyle w:val="NoSpace"/>
        <w:rPr>
          <w:b/>
          <w:bCs/>
        </w:rPr>
      </w:pPr>
      <w:r w:rsidRPr="47096677">
        <w:rPr>
          <w:b/>
          <w:lang w:bidi="es-ES"/>
        </w:rPr>
        <w:t>Kristen Mackey</w:t>
      </w:r>
    </w:p>
    <w:p w14:paraId="4BDAC940" w14:textId="2643B4B9" w:rsidR="0969A8EE" w:rsidRDefault="0969A8EE" w:rsidP="47096677">
      <w:pPr>
        <w:pStyle w:val="NoSpace"/>
      </w:pPr>
      <w:r>
        <w:rPr>
          <w:lang w:bidi="es-ES"/>
        </w:rPr>
        <w:t>Administradora del Programa de RSA</w:t>
      </w:r>
    </w:p>
    <w:p w14:paraId="5358AA9F" w14:textId="13F1CD04" w:rsidR="0969A8EE" w:rsidRDefault="0969A8EE" w:rsidP="47096677">
      <w:pPr>
        <w:pStyle w:val="NoSpace"/>
      </w:pPr>
      <w:r>
        <w:rPr>
          <w:lang w:bidi="es-ES"/>
        </w:rPr>
        <w:t>Rehabilitación Vocacional de Arizona</w:t>
      </w:r>
    </w:p>
    <w:p w14:paraId="0514E06C" w14:textId="630B995B" w:rsidR="0969A8EE" w:rsidRDefault="0969A8EE" w:rsidP="47096677">
      <w:pPr>
        <w:pStyle w:val="NoSpace"/>
        <w:rPr>
          <w:highlight w:val="yellow"/>
        </w:rPr>
      </w:pPr>
      <w:hyperlink r:id="rId18">
        <w:r w:rsidRPr="47096677">
          <w:rPr>
            <w:rStyle w:val="Hyperlink"/>
            <w:lang w:bidi="es-ES"/>
          </w:rPr>
          <w:t>kmackey@azdes.gov</w:t>
        </w:r>
      </w:hyperlink>
      <w:r>
        <w:rPr>
          <w:lang w:bidi="es-ES"/>
        </w:rPr>
        <w:t xml:space="preserve"> </w:t>
      </w:r>
    </w:p>
    <w:p w14:paraId="7F6620E2" w14:textId="3D88481D" w:rsidR="47096677" w:rsidRDefault="47096677" w:rsidP="47096677">
      <w:pPr>
        <w:pStyle w:val="NoSpace"/>
      </w:pPr>
    </w:p>
    <w:p w14:paraId="0C61B0FB" w14:textId="77777777" w:rsidR="0969A8EE" w:rsidRDefault="0969A8EE" w:rsidP="47096677">
      <w:pPr>
        <w:pStyle w:val="NoSpace"/>
        <w:rPr>
          <w:b/>
          <w:bCs/>
        </w:rPr>
      </w:pPr>
      <w:r w:rsidRPr="47096677">
        <w:rPr>
          <w:b/>
          <w:lang w:bidi="es-ES"/>
        </w:rPr>
        <w:t>Facilitado por:</w:t>
      </w:r>
    </w:p>
    <w:p w14:paraId="67390C1D" w14:textId="77777777" w:rsidR="0969A8EE" w:rsidRDefault="0969A8EE" w:rsidP="47096677">
      <w:pPr>
        <w:pStyle w:val="NoSpace"/>
      </w:pPr>
      <w:r>
        <w:rPr>
          <w:lang w:bidi="es-ES"/>
        </w:rPr>
        <w:t xml:space="preserve">Brooke Wilson </w:t>
      </w:r>
    </w:p>
    <w:p w14:paraId="535811E5" w14:textId="77777777" w:rsidR="0969A8EE" w:rsidRDefault="0969A8EE" w:rsidP="47096677">
      <w:pPr>
        <w:pStyle w:val="NoSpace"/>
      </w:pPr>
      <w:r>
        <w:rPr>
          <w:lang w:bidi="es-ES"/>
        </w:rPr>
        <w:t>Presidente de la Asociación Nacional de Consejos Estatales para la Vida Independiente (NASILC)</w:t>
      </w:r>
    </w:p>
    <w:p w14:paraId="617D5666" w14:textId="13864190" w:rsidR="004365F0" w:rsidRDefault="00AF72FC" w:rsidP="00AF72FC">
      <w:pPr>
        <w:pStyle w:val="Heading1"/>
      </w:pPr>
      <w:r>
        <w:br w:type="page"/>
      </w:r>
      <w:r w:rsidR="004365F0">
        <w:lastRenderedPageBreak/>
        <w:t>La Red para la Vida Independiente de Arizona en Acción</w:t>
      </w:r>
    </w:p>
    <w:p w14:paraId="27252E91" w14:textId="1A98583A" w:rsidR="004365F0" w:rsidRPr="00AF72FC" w:rsidRDefault="004365F0" w:rsidP="00AF72FC">
      <w:pPr>
        <w:pStyle w:val="BulletedList"/>
        <w:rPr>
          <w:sz w:val="24"/>
          <w:szCs w:val="24"/>
          <w:lang w:eastAsia="en-US"/>
        </w:rPr>
      </w:pPr>
      <w:r w:rsidRPr="00AF72FC">
        <w:rPr>
          <w:sz w:val="24"/>
          <w:szCs w:val="24"/>
        </w:rPr>
        <w:t xml:space="preserve">La </w:t>
      </w:r>
      <w:r w:rsidRPr="00AF72FC">
        <w:rPr>
          <w:b/>
          <w:sz w:val="24"/>
          <w:szCs w:val="24"/>
        </w:rPr>
        <w:t xml:space="preserve">Red para la Vida Independiente de Arizona (AZILN) </w:t>
      </w:r>
      <w:r w:rsidRPr="00AF72FC">
        <w:rPr>
          <w:sz w:val="24"/>
          <w:szCs w:val="24"/>
        </w:rPr>
        <w:t>une el SILC de Arizona y cinco (5) Centros para la Vida Independiente de la Parte C.</w:t>
      </w:r>
    </w:p>
    <w:p w14:paraId="587836E2" w14:textId="59B36B9A" w:rsidR="004365F0" w:rsidRPr="00AF72FC" w:rsidRDefault="004365F0" w:rsidP="00AF72FC">
      <w:pPr>
        <w:pStyle w:val="BulletedList"/>
        <w:rPr>
          <w:sz w:val="24"/>
          <w:szCs w:val="24"/>
          <w:lang w:eastAsia="en-US"/>
        </w:rPr>
      </w:pPr>
      <w:r w:rsidRPr="00AF72FC">
        <w:rPr>
          <w:sz w:val="24"/>
          <w:szCs w:val="24"/>
        </w:rPr>
        <w:t xml:space="preserve">La </w:t>
      </w:r>
      <w:r w:rsidRPr="00AF72FC">
        <w:rPr>
          <w:b/>
          <w:sz w:val="24"/>
          <w:szCs w:val="24"/>
        </w:rPr>
        <w:t>Entidad Estatal Designada (DSE)</w:t>
      </w:r>
      <w:r w:rsidRPr="00AF72FC">
        <w:rPr>
          <w:sz w:val="24"/>
          <w:szCs w:val="24"/>
        </w:rPr>
        <w:t xml:space="preserve"> es la Administración de Servicios de Rehabilitación de Arizona (AZRSA).</w:t>
      </w:r>
    </w:p>
    <w:p w14:paraId="16DE5D83" w14:textId="1DED0D0D" w:rsidR="004365F0" w:rsidRPr="00AF72FC" w:rsidRDefault="004365F0" w:rsidP="00AF72FC">
      <w:pPr>
        <w:pStyle w:val="BulletedList"/>
        <w:rPr>
          <w:sz w:val="24"/>
          <w:szCs w:val="24"/>
          <w:lang w:eastAsia="en-US"/>
        </w:rPr>
      </w:pPr>
      <w:r w:rsidRPr="00AF72FC">
        <w:rPr>
          <w:sz w:val="24"/>
          <w:szCs w:val="24"/>
        </w:rPr>
        <w:t xml:space="preserve">Juntos, estos socios traducen los requisitos federales en prácticas estatales, equilibrando </w:t>
      </w:r>
      <w:r w:rsidRPr="00AF72FC">
        <w:rPr>
          <w:b/>
          <w:sz w:val="24"/>
          <w:szCs w:val="24"/>
        </w:rPr>
        <w:t>autonomía, responsabilidad y colaboración</w:t>
      </w:r>
      <w:r w:rsidRPr="00AF72FC">
        <w:rPr>
          <w:sz w:val="24"/>
          <w:szCs w:val="24"/>
        </w:rPr>
        <w:t>.</w:t>
      </w:r>
    </w:p>
    <w:p w14:paraId="1DDB8F33" w14:textId="77777777" w:rsidR="004365F0" w:rsidRPr="00A61E3B" w:rsidRDefault="004365F0" w:rsidP="00AF72FC">
      <w:pPr>
        <w:pStyle w:val="BulletedList"/>
        <w:numPr>
          <w:ilvl w:val="0"/>
          <w:numId w:val="0"/>
        </w:numPr>
        <w:ind w:left="720"/>
      </w:pPr>
    </w:p>
    <w:p w14:paraId="09DE7DE1" w14:textId="18A38DAD" w:rsidR="7B422999" w:rsidRPr="00A91DC1" w:rsidRDefault="7B422999" w:rsidP="00254A09"/>
    <w:p w14:paraId="6ADBCF58" w14:textId="5084B4E7" w:rsidR="63AF824F" w:rsidRPr="00A91DC1" w:rsidRDefault="63AF824F" w:rsidP="00254A09">
      <w:r w:rsidRPr="00A91DC1">
        <w:rPr>
          <w:lang w:bidi="es-ES"/>
        </w:rPr>
        <w:br w:type="page"/>
      </w:r>
    </w:p>
    <w:p w14:paraId="1A50F0B0" w14:textId="6BBC7E0F" w:rsidR="004365F0" w:rsidRDefault="004365F0" w:rsidP="00AF72FC">
      <w:pPr>
        <w:pStyle w:val="Style1"/>
        <w:rPr>
          <w:lang w:eastAsia="en-US"/>
        </w:rPr>
      </w:pPr>
      <w:r>
        <w:lastRenderedPageBreak/>
        <w:t>Una red independiente y conectada en Arizona</w:t>
      </w:r>
    </w:p>
    <w:p w14:paraId="4F2BC2AB" w14:textId="15B8AB01" w:rsidR="004365F0" w:rsidRPr="00AF72FC" w:rsidRDefault="00325D93" w:rsidP="00AF72FC">
      <w:pPr>
        <w:pStyle w:val="BulletedList"/>
        <w:rPr>
          <w:sz w:val="24"/>
          <w:szCs w:val="24"/>
          <w:lang w:eastAsia="en-US"/>
        </w:rPr>
      </w:pPr>
      <w:r w:rsidRPr="00AF72FC">
        <w:rPr>
          <w:sz w:val="24"/>
          <w:szCs w:val="24"/>
        </w:rPr>
        <w:t>El SILC y los CIL son todos autónomos y autogestionados.</w:t>
      </w:r>
    </w:p>
    <w:p w14:paraId="5CD7F382" w14:textId="53FD964D" w:rsidR="004365F0" w:rsidRPr="00AF72FC" w:rsidRDefault="004365F0" w:rsidP="00AF72FC">
      <w:pPr>
        <w:pStyle w:val="BulletedList"/>
        <w:rPr>
          <w:sz w:val="24"/>
          <w:szCs w:val="24"/>
          <w:lang w:eastAsia="en-US"/>
        </w:rPr>
      </w:pPr>
      <w:r w:rsidRPr="00AF72FC">
        <w:rPr>
          <w:sz w:val="24"/>
          <w:szCs w:val="24"/>
        </w:rPr>
        <w:t>Las seis (6) organizaciones en conjunto forman una red fundamental dentro de la Comunidad de la Discapacidad de Arizona y mejoran la vida comunitaria en todo el estado.</w:t>
      </w:r>
    </w:p>
    <w:p w14:paraId="63A5B6D0" w14:textId="4A23DA9F" w:rsidR="004365F0" w:rsidRPr="00AF72FC" w:rsidRDefault="004365F0" w:rsidP="00AF72FC">
      <w:pPr>
        <w:pStyle w:val="BulletedList"/>
        <w:rPr>
          <w:sz w:val="24"/>
          <w:szCs w:val="24"/>
          <w:lang w:eastAsia="en-US"/>
        </w:rPr>
      </w:pPr>
      <w:r w:rsidRPr="00AF72FC">
        <w:rPr>
          <w:sz w:val="24"/>
          <w:szCs w:val="24"/>
        </w:rPr>
        <w:t xml:space="preserve">El SILC, los CIL y la DSE desempeñan sus </w:t>
      </w:r>
      <w:r w:rsidRPr="00AF72FC">
        <w:rPr>
          <w:b/>
          <w:sz w:val="24"/>
          <w:szCs w:val="24"/>
        </w:rPr>
        <w:t xml:space="preserve">diferentes roles </w:t>
      </w:r>
      <w:r w:rsidRPr="00AF72FC">
        <w:rPr>
          <w:sz w:val="24"/>
          <w:szCs w:val="24"/>
        </w:rPr>
        <w:t xml:space="preserve">mientras trabajan en conjunto en el </w:t>
      </w:r>
      <w:r w:rsidRPr="00AF72FC">
        <w:rPr>
          <w:b/>
          <w:sz w:val="24"/>
          <w:szCs w:val="24"/>
        </w:rPr>
        <w:t>Plan Estatal para la Vida Independiente (SPIL)</w:t>
      </w:r>
      <w:r w:rsidRPr="00AF72FC">
        <w:rPr>
          <w:sz w:val="24"/>
          <w:szCs w:val="24"/>
        </w:rPr>
        <w:t>.</w:t>
      </w:r>
    </w:p>
    <w:p w14:paraId="26B23465" w14:textId="17114007" w:rsidR="0091547C" w:rsidRPr="00A91DC1" w:rsidRDefault="7150E246" w:rsidP="00AF72FC">
      <w:pPr>
        <w:pStyle w:val="BulletedList"/>
      </w:pPr>
      <w:r w:rsidRPr="00A91DC1">
        <w:br w:type="page"/>
      </w:r>
    </w:p>
    <w:p w14:paraId="79305C27" w14:textId="686F049E" w:rsidR="0091547C" w:rsidRPr="00AF72FC" w:rsidRDefault="009100DF" w:rsidP="00AF72FC">
      <w:pPr>
        <w:pStyle w:val="Heading1"/>
      </w:pPr>
      <w:r w:rsidRPr="00AF72FC">
        <w:lastRenderedPageBreak/>
        <w:t xml:space="preserve">Roles respectivos: ¿Quién hace qué? </w:t>
      </w:r>
    </w:p>
    <w:p w14:paraId="51C0EFD8" w14:textId="5B8D1056" w:rsidR="0091547C" w:rsidRPr="009100DF" w:rsidRDefault="00DE160C" w:rsidP="00060936">
      <w:r w:rsidRPr="009100DF">
        <w:rPr>
          <w:lang w:bidi="es-ES"/>
        </w:rPr>
        <w:t xml:space="preserve">Los Indicadores del SILC y las Garantías de la DSE son </w:t>
      </w:r>
      <w:r w:rsidRPr="009100DF">
        <w:rPr>
          <w:b/>
          <w:lang w:bidi="es-ES"/>
        </w:rPr>
        <w:t>claros</w:t>
      </w:r>
      <w:r w:rsidRPr="009100DF">
        <w:rPr>
          <w:lang w:bidi="es-ES"/>
        </w:rPr>
        <w:t>:</w:t>
      </w:r>
    </w:p>
    <w:p w14:paraId="4D1BF177" w14:textId="2AB4005A" w:rsidR="00060936" w:rsidRPr="00AF72FC" w:rsidRDefault="00060936" w:rsidP="00AF72FC">
      <w:pPr>
        <w:pStyle w:val="BulletedList"/>
        <w:numPr>
          <w:ilvl w:val="0"/>
          <w:numId w:val="0"/>
        </w:numPr>
        <w:ind w:left="-90"/>
        <w:rPr>
          <w:b/>
          <w:bCs/>
        </w:rPr>
      </w:pPr>
      <w:r w:rsidRPr="00AF72FC">
        <w:rPr>
          <w:b/>
          <w:bCs/>
        </w:rPr>
        <w:t>Responsabilidades del SILC</w:t>
      </w:r>
    </w:p>
    <w:p w14:paraId="440B31E1" w14:textId="77777777" w:rsidR="00060936" w:rsidRPr="003F2347" w:rsidRDefault="00060936" w:rsidP="00AF72FC">
      <w:pPr>
        <w:pStyle w:val="BulletedList"/>
        <w:tabs>
          <w:tab w:val="clear" w:pos="426"/>
        </w:tabs>
      </w:pPr>
      <w:r w:rsidRPr="003F2347">
        <w:t>Composición y capacitación del consejo</w:t>
      </w:r>
    </w:p>
    <w:p w14:paraId="61CC68E5" w14:textId="5A60B780" w:rsidR="00325D93" w:rsidRPr="003F2347" w:rsidRDefault="00325D93" w:rsidP="00AF72FC">
      <w:pPr>
        <w:pStyle w:val="BulletedList"/>
        <w:tabs>
          <w:tab w:val="clear" w:pos="426"/>
        </w:tabs>
      </w:pPr>
      <w:r w:rsidRPr="003F2347">
        <w:t>Comunicación con la autoridad designada</w:t>
      </w:r>
    </w:p>
    <w:p w14:paraId="7C8561CC" w14:textId="0EE08397" w:rsidR="00060936" w:rsidRPr="003F2347" w:rsidRDefault="00060936" w:rsidP="00AF72FC">
      <w:pPr>
        <w:pStyle w:val="BulletedList"/>
        <w:tabs>
          <w:tab w:val="clear" w:pos="426"/>
        </w:tabs>
      </w:pPr>
      <w:r w:rsidRPr="003F2347">
        <w:t>Reuniones y materiales abiertos y accesibles</w:t>
      </w:r>
    </w:p>
    <w:p w14:paraId="2405BFE1" w14:textId="4C074DF9" w:rsidR="00060936" w:rsidRPr="003F2347" w:rsidRDefault="00060936" w:rsidP="00AF72FC">
      <w:pPr>
        <w:pStyle w:val="BulletedList"/>
        <w:tabs>
          <w:tab w:val="clear" w:pos="426"/>
        </w:tabs>
      </w:pPr>
      <w:r w:rsidRPr="003F2347">
        <w:t>Desarrollo del SPIL con los CIL y la opinión</w:t>
      </w:r>
      <w:r w:rsidR="00AF72FC">
        <w:t xml:space="preserve"> </w:t>
      </w:r>
      <w:r w:rsidRPr="003F2347">
        <w:t>pública</w:t>
      </w:r>
    </w:p>
    <w:p w14:paraId="0B9EDC74" w14:textId="77777777" w:rsidR="00060936" w:rsidRPr="003F2347" w:rsidRDefault="00060936" w:rsidP="00AF72FC">
      <w:pPr>
        <w:pStyle w:val="BulletedList"/>
        <w:tabs>
          <w:tab w:val="clear" w:pos="426"/>
        </w:tabs>
      </w:pPr>
      <w:r w:rsidRPr="003F2347">
        <w:t>Monitoreo, revisión y evaluación del SPIL</w:t>
      </w:r>
    </w:p>
    <w:p w14:paraId="687C0D14" w14:textId="5F6738EE" w:rsidR="00060936" w:rsidRPr="00AF72FC" w:rsidRDefault="00060936" w:rsidP="00AF72FC">
      <w:pPr>
        <w:pStyle w:val="BulletedList"/>
        <w:numPr>
          <w:ilvl w:val="0"/>
          <w:numId w:val="0"/>
        </w:numPr>
        <w:ind w:left="-90"/>
        <w:rPr>
          <w:b/>
          <w:bCs/>
        </w:rPr>
      </w:pPr>
      <w:r w:rsidRPr="00AF72FC">
        <w:rPr>
          <w:b/>
          <w:bCs/>
        </w:rPr>
        <w:t>Responsabilidades de la DSE</w:t>
      </w:r>
    </w:p>
    <w:p w14:paraId="7A0EA848" w14:textId="77777777" w:rsidR="00060936" w:rsidRPr="003F2347" w:rsidRDefault="00060936" w:rsidP="00AF72FC">
      <w:pPr>
        <w:pStyle w:val="BulletedList"/>
      </w:pPr>
      <w:r w:rsidRPr="003F2347">
        <w:t>Servir como intermediario fiscal</w:t>
      </w:r>
    </w:p>
    <w:p w14:paraId="03402D87" w14:textId="58CBA4CA" w:rsidR="0091547C" w:rsidRPr="00060936" w:rsidRDefault="00060936" w:rsidP="00AF72FC">
      <w:pPr>
        <w:pStyle w:val="BulletedList"/>
      </w:pPr>
      <w:r w:rsidRPr="47096677">
        <w:t>Garantizar la autonomía del SILC</w:t>
      </w:r>
    </w:p>
    <w:p w14:paraId="0E65B711" w14:textId="331C810D" w:rsidR="00AF72FC" w:rsidRDefault="004365F0" w:rsidP="00AF72FC">
      <w:pPr>
        <w:pStyle w:val="BulletedList"/>
        <w:numPr>
          <w:ilvl w:val="0"/>
          <w:numId w:val="0"/>
        </w:numPr>
        <w:ind w:left="720"/>
        <w:jc w:val="center"/>
        <w:rPr>
          <w:rStyle w:val="IntenseEmphasis"/>
        </w:rPr>
      </w:pPr>
      <w:r w:rsidRPr="00AF72FC">
        <w:rPr>
          <w:rStyle w:val="IntenseEmphasis"/>
          <w:sz w:val="24"/>
          <w:szCs w:val="24"/>
        </w:rPr>
        <w:t>Los roles claros garantizan la independencia del SILC mientras fortalecen la asociación</w:t>
      </w:r>
    </w:p>
    <w:p w14:paraId="0D78696C" w14:textId="77777777" w:rsidR="00AF72FC" w:rsidRDefault="00AF72FC">
      <w:pPr>
        <w:ind w:left="0"/>
        <w:rPr>
          <w:rStyle w:val="IntenseEmphasis"/>
          <w:sz w:val="22"/>
          <w:szCs w:val="22"/>
          <w:lang w:bidi="es-ES"/>
        </w:rPr>
      </w:pPr>
      <w:r>
        <w:rPr>
          <w:rStyle w:val="IntenseEmphasis"/>
        </w:rPr>
        <w:br w:type="page"/>
      </w:r>
    </w:p>
    <w:p w14:paraId="47DF2BFA" w14:textId="54477588" w:rsidR="0091547C" w:rsidRPr="00AF72FC" w:rsidRDefault="00060936" w:rsidP="00AF72FC">
      <w:pPr>
        <w:pStyle w:val="Heading1"/>
      </w:pPr>
      <w:r w:rsidRPr="00AF72FC">
        <w:lastRenderedPageBreak/>
        <w:t>La mentalidad de asociación de Arizona</w:t>
      </w:r>
    </w:p>
    <w:p w14:paraId="4F0A22D7" w14:textId="77777777" w:rsidR="00060936" w:rsidRPr="00AF72FC" w:rsidRDefault="00060936" w:rsidP="00AF72FC">
      <w:pPr>
        <w:pStyle w:val="BulletedList"/>
        <w:rPr>
          <w:sz w:val="24"/>
          <w:szCs w:val="24"/>
        </w:rPr>
      </w:pPr>
      <w:r w:rsidRPr="00AF72FC">
        <w:rPr>
          <w:sz w:val="24"/>
          <w:szCs w:val="24"/>
        </w:rPr>
        <w:t>El SILC, los CIL y la DSE son piezas fundamentales del rompecabezas.</w:t>
      </w:r>
    </w:p>
    <w:p w14:paraId="52E76A25" w14:textId="77777777" w:rsidR="00060936" w:rsidRPr="00AF72FC" w:rsidRDefault="00060936" w:rsidP="00AF72FC">
      <w:pPr>
        <w:pStyle w:val="BulletedList"/>
        <w:rPr>
          <w:sz w:val="24"/>
          <w:szCs w:val="24"/>
        </w:rPr>
      </w:pPr>
      <w:r w:rsidRPr="00AF72FC">
        <w:rPr>
          <w:sz w:val="24"/>
          <w:szCs w:val="24"/>
        </w:rPr>
        <w:t>Son socios que se complementan con un interés común.</w:t>
      </w:r>
    </w:p>
    <w:p w14:paraId="12DFF7B1" w14:textId="77777777" w:rsidR="00060936" w:rsidRPr="00AF72FC" w:rsidRDefault="00060936" w:rsidP="00AF72FC">
      <w:pPr>
        <w:pStyle w:val="BulletedList"/>
        <w:rPr>
          <w:sz w:val="24"/>
          <w:szCs w:val="24"/>
        </w:rPr>
      </w:pPr>
      <w:r w:rsidRPr="00AF72FC">
        <w:rPr>
          <w:sz w:val="24"/>
          <w:szCs w:val="24"/>
        </w:rPr>
        <w:t>Ninguno puede actuar solo y realmente lograr su objetivo: ni tampoco lo querríamos.</w:t>
      </w:r>
    </w:p>
    <w:p w14:paraId="352E0A82" w14:textId="4ADB5DD7" w:rsidR="00060936" w:rsidRPr="00AF72FC" w:rsidRDefault="00060936" w:rsidP="00AF72FC">
      <w:pPr>
        <w:pStyle w:val="BulletedList"/>
        <w:rPr>
          <w:sz w:val="24"/>
          <w:szCs w:val="24"/>
        </w:rPr>
      </w:pPr>
      <w:r w:rsidRPr="00AF72FC">
        <w:rPr>
          <w:sz w:val="24"/>
          <w:szCs w:val="24"/>
        </w:rPr>
        <w:t>Juntos, operamos como una red en buen funcionamiento, aunque construir relaciones sólidas ha llevado tiempo, energía y esfuerzo continuo.</w:t>
      </w:r>
    </w:p>
    <w:p w14:paraId="0AA139A2" w14:textId="79E8E047" w:rsidR="007876FB" w:rsidRPr="00AF72FC" w:rsidRDefault="7150E246" w:rsidP="00AF72FC">
      <w:pPr>
        <w:pStyle w:val="Heading1"/>
      </w:pPr>
      <w:r>
        <w:br w:type="page"/>
      </w:r>
      <w:r w:rsidR="00D1286D" w:rsidRPr="00AF72FC">
        <w:lastRenderedPageBreak/>
        <w:t xml:space="preserve">Si miramos hacia atrás: nosotros y ellos </w:t>
      </w:r>
    </w:p>
    <w:p w14:paraId="7B9A45D4" w14:textId="491DC953" w:rsidR="00D1286D" w:rsidRPr="00AF72FC" w:rsidRDefault="00D1286D" w:rsidP="00AF72FC">
      <w:pPr>
        <w:pStyle w:val="BulletedList"/>
        <w:rPr>
          <w:sz w:val="24"/>
          <w:szCs w:val="24"/>
          <w:lang w:eastAsia="en-US"/>
        </w:rPr>
      </w:pPr>
      <w:r w:rsidRPr="00AF72FC">
        <w:rPr>
          <w:sz w:val="24"/>
          <w:szCs w:val="24"/>
        </w:rPr>
        <w:t xml:space="preserve">Hace años, el </w:t>
      </w:r>
      <w:r w:rsidRPr="00AF72FC">
        <w:rPr>
          <w:b/>
          <w:sz w:val="24"/>
          <w:szCs w:val="24"/>
        </w:rPr>
        <w:t>AZSILC estaba estrechamente alineado con un CIL</w:t>
      </w:r>
      <w:r w:rsidRPr="00AF72FC">
        <w:rPr>
          <w:sz w:val="24"/>
          <w:szCs w:val="24"/>
        </w:rPr>
        <w:t xml:space="preserve">, mientras que los otros cuatro solían incluirse solo después de que se tomaban decisiones, lo que creaba una sensación de </w:t>
      </w:r>
      <w:r w:rsidRPr="00AF72FC">
        <w:rPr>
          <w:i/>
          <w:sz w:val="24"/>
          <w:szCs w:val="24"/>
        </w:rPr>
        <w:t>“nosotros y ellos”.</w:t>
      </w:r>
    </w:p>
    <w:p w14:paraId="6875DC36" w14:textId="72DB79B9" w:rsidR="00D1286D" w:rsidRPr="00AF72FC" w:rsidRDefault="00D1286D" w:rsidP="00AF72FC">
      <w:pPr>
        <w:pStyle w:val="BulletedList"/>
        <w:rPr>
          <w:sz w:val="24"/>
          <w:szCs w:val="24"/>
          <w:lang w:eastAsia="en-US"/>
        </w:rPr>
      </w:pPr>
      <w:r w:rsidRPr="00AF72FC">
        <w:rPr>
          <w:sz w:val="24"/>
          <w:szCs w:val="24"/>
        </w:rPr>
        <w:t xml:space="preserve">Al mismo tiempo, el AZSILC y la DSE colaboraban bien en proyectos, pero las luchas de poder sobre la autonomía y la financiación daban lugar a tensiones y reforzaban la idea de </w:t>
      </w:r>
      <w:r w:rsidRPr="00AF72FC">
        <w:rPr>
          <w:i/>
          <w:sz w:val="24"/>
          <w:szCs w:val="24"/>
        </w:rPr>
        <w:t>“nosotros y ellos”.</w:t>
      </w:r>
    </w:p>
    <w:p w14:paraId="50A137A4" w14:textId="063BB37F" w:rsidR="0091547C" w:rsidRPr="00AF72FC" w:rsidRDefault="00D1286D" w:rsidP="00AF72FC">
      <w:pPr>
        <w:pStyle w:val="BulletedList"/>
        <w:rPr>
          <w:sz w:val="24"/>
          <w:szCs w:val="24"/>
          <w:lang w:eastAsia="en-US"/>
        </w:rPr>
      </w:pPr>
      <w:r w:rsidRPr="00AF72FC">
        <w:rPr>
          <w:sz w:val="24"/>
          <w:szCs w:val="24"/>
        </w:rPr>
        <w:t xml:space="preserve">En ambos casos, </w:t>
      </w:r>
      <w:r w:rsidRPr="00AF72FC">
        <w:rPr>
          <w:b/>
          <w:sz w:val="24"/>
          <w:szCs w:val="24"/>
        </w:rPr>
        <w:t>los límites difusos dejaron al AZSILC atrapado en el medio</w:t>
      </w:r>
      <w:r w:rsidRPr="00AF72FC">
        <w:rPr>
          <w:sz w:val="24"/>
          <w:szCs w:val="24"/>
        </w:rPr>
        <w:t>, en medio de relaciones que, a menudo, se sentían divididas en lugar de unidas.</w:t>
      </w:r>
    </w:p>
    <w:p w14:paraId="3AB7B0C5" w14:textId="77777777" w:rsidR="00AF72FC" w:rsidRDefault="00AF72FC">
      <w:pPr>
        <w:ind w:left="0"/>
        <w:rPr>
          <w:rFonts w:eastAsiaTheme="majorEastAsia" w:cstheme="majorBidi"/>
          <w:b/>
          <w:bCs/>
          <w:color w:val="70003E"/>
          <w:sz w:val="28"/>
          <w:szCs w:val="28"/>
          <w:lang w:bidi="es-ES"/>
        </w:rPr>
      </w:pPr>
      <w:bookmarkStart w:id="0" w:name="_Hlk206068732"/>
      <w:r>
        <w:br w:type="page"/>
      </w:r>
    </w:p>
    <w:p w14:paraId="0BC8BB44" w14:textId="201AAEFC" w:rsidR="0091547C" w:rsidRPr="00935399" w:rsidRDefault="00B60579" w:rsidP="00AF72FC">
      <w:pPr>
        <w:pStyle w:val="Heading1"/>
      </w:pPr>
      <w:r w:rsidRPr="00935399">
        <w:lastRenderedPageBreak/>
        <w:t>El cambio crea oportunidades</w:t>
      </w:r>
    </w:p>
    <w:bookmarkEnd w:id="0"/>
    <w:p w14:paraId="7457DB2C" w14:textId="6EAA1274" w:rsidR="00696515" w:rsidRPr="00AF72FC" w:rsidRDefault="008A24ED" w:rsidP="00AF72FC">
      <w:pPr>
        <w:pStyle w:val="BulletedList"/>
        <w:rPr>
          <w:sz w:val="24"/>
          <w:szCs w:val="24"/>
        </w:rPr>
      </w:pPr>
      <w:r w:rsidRPr="00AF72FC">
        <w:rPr>
          <w:sz w:val="24"/>
          <w:szCs w:val="24"/>
        </w:rPr>
        <w:t>Quien fue el director del SILC durante mucho tiempo se jubiló, dos (2) administradores de la DSE avanzan, y tanto la AZILN como la DSE se benefician de una nueva visión, energía y experiencia</w:t>
      </w:r>
      <w:r w:rsidR="00AF72FC">
        <w:rPr>
          <w:sz w:val="24"/>
          <w:szCs w:val="24"/>
        </w:rPr>
        <w:t>.</w:t>
      </w:r>
    </w:p>
    <w:p w14:paraId="21E074C1" w14:textId="0D92EB39" w:rsidR="00627540" w:rsidRPr="00AF72FC" w:rsidRDefault="003F2347" w:rsidP="003F2347">
      <w:pPr>
        <w:pStyle w:val="2ndLevelBullet"/>
        <w:rPr>
          <w:sz w:val="24"/>
          <w:szCs w:val="24"/>
        </w:rPr>
      </w:pPr>
      <w:r w:rsidRPr="00AF72FC">
        <w:rPr>
          <w:sz w:val="24"/>
          <w:szCs w:val="24"/>
          <w:lang w:bidi="es-ES"/>
        </w:rPr>
        <w:t>Los líderes nuevos enfrentaron resistencia</w:t>
      </w:r>
      <w:r w:rsidR="00AF72FC">
        <w:rPr>
          <w:sz w:val="24"/>
          <w:szCs w:val="24"/>
          <w:lang w:bidi="es-ES"/>
        </w:rPr>
        <w:t>.</w:t>
      </w:r>
      <w:r w:rsidRPr="00AF72FC">
        <w:rPr>
          <w:sz w:val="24"/>
          <w:szCs w:val="24"/>
          <w:lang w:bidi="es-ES"/>
        </w:rPr>
        <w:t xml:space="preserve"> </w:t>
      </w:r>
    </w:p>
    <w:p w14:paraId="1AD13277" w14:textId="58569F94" w:rsidR="0020774B" w:rsidRPr="00AF72FC" w:rsidRDefault="003F2347" w:rsidP="003F2347">
      <w:pPr>
        <w:pStyle w:val="2ndLevelBullet"/>
        <w:rPr>
          <w:sz w:val="24"/>
          <w:szCs w:val="24"/>
        </w:rPr>
      </w:pPr>
      <w:r w:rsidRPr="00AF72FC">
        <w:rPr>
          <w:sz w:val="24"/>
          <w:szCs w:val="24"/>
          <w:lang w:bidi="es-ES"/>
        </w:rPr>
        <w:t>Luego de reconocer los desafíos del pasado, el AZILN hizo un esfuerzo por avanzar para construir un futuro donde la verdadera asociación fuera posible y el AZILN prosperara</w:t>
      </w:r>
      <w:r w:rsidR="00AF72FC">
        <w:rPr>
          <w:sz w:val="24"/>
          <w:szCs w:val="24"/>
          <w:lang w:bidi="es-ES"/>
        </w:rPr>
        <w:t>.</w:t>
      </w:r>
      <w:r w:rsidRPr="00AF72FC">
        <w:rPr>
          <w:sz w:val="24"/>
          <w:szCs w:val="24"/>
          <w:lang w:bidi="es-ES"/>
        </w:rPr>
        <w:t xml:space="preserve"> </w:t>
      </w:r>
    </w:p>
    <w:p w14:paraId="5E369B6C" w14:textId="77777777" w:rsidR="003F2347" w:rsidRDefault="003F2347">
      <w:pPr>
        <w:ind w:left="0"/>
        <w:rPr>
          <w:rFonts w:eastAsiaTheme="majorEastAsia" w:cstheme="majorBidi"/>
          <w:b/>
          <w:bCs/>
          <w:color w:val="70003E"/>
          <w:sz w:val="32"/>
          <w:szCs w:val="32"/>
        </w:rPr>
      </w:pPr>
      <w:r>
        <w:rPr>
          <w:lang w:bidi="es-ES"/>
        </w:rPr>
        <w:br w:type="page"/>
      </w:r>
    </w:p>
    <w:p w14:paraId="41B99F3F" w14:textId="0DA06B07" w:rsidR="0020774B" w:rsidRPr="00AF72FC" w:rsidRDefault="00233175" w:rsidP="00AF72FC">
      <w:pPr>
        <w:pStyle w:val="Heading1"/>
      </w:pPr>
      <w:r w:rsidRPr="00AF72FC">
        <w:lastRenderedPageBreak/>
        <w:t>Oportunidad en acción</w:t>
      </w:r>
    </w:p>
    <w:p w14:paraId="2B7D8A97" w14:textId="5EB36D05" w:rsidR="009B0E6B" w:rsidRPr="00AF72FC" w:rsidRDefault="00233175" w:rsidP="00AF72FC">
      <w:pPr>
        <w:pStyle w:val="BulletedList"/>
        <w:rPr>
          <w:sz w:val="24"/>
          <w:szCs w:val="24"/>
        </w:rPr>
      </w:pPr>
      <w:r w:rsidRPr="00AF72FC">
        <w:rPr>
          <w:sz w:val="24"/>
          <w:szCs w:val="24"/>
        </w:rPr>
        <w:t xml:space="preserve">Con el tiempo, el AZILN ha construido relaciones basadas en la confianza: </w:t>
      </w:r>
    </w:p>
    <w:p w14:paraId="71D7D05C" w14:textId="51D9C1E8" w:rsidR="009B0E6B" w:rsidRPr="00AF72FC" w:rsidRDefault="009B0E6B" w:rsidP="009B0E6B">
      <w:pPr>
        <w:pStyle w:val="2ndLevelBullet"/>
        <w:spacing w:after="0"/>
        <w:rPr>
          <w:sz w:val="24"/>
          <w:szCs w:val="24"/>
        </w:rPr>
      </w:pPr>
      <w:r w:rsidRPr="00AF72FC">
        <w:rPr>
          <w:sz w:val="24"/>
          <w:szCs w:val="24"/>
          <w:lang w:bidi="es-ES"/>
        </w:rPr>
        <w:t>Intención</w:t>
      </w:r>
    </w:p>
    <w:p w14:paraId="53CC6B7A" w14:textId="28060F20" w:rsidR="009B0E6B" w:rsidRPr="00AF72FC" w:rsidRDefault="009B0E6B" w:rsidP="009B0E6B">
      <w:pPr>
        <w:pStyle w:val="2ndLevelBullet"/>
        <w:spacing w:after="0"/>
        <w:rPr>
          <w:sz w:val="24"/>
          <w:szCs w:val="24"/>
        </w:rPr>
      </w:pPr>
      <w:r w:rsidRPr="00AF72FC">
        <w:rPr>
          <w:sz w:val="24"/>
          <w:szCs w:val="24"/>
          <w:lang w:bidi="es-ES"/>
        </w:rPr>
        <w:t xml:space="preserve">Coherencia </w:t>
      </w:r>
    </w:p>
    <w:p w14:paraId="1FEB9829" w14:textId="186375CC" w:rsidR="009B0E6B" w:rsidRPr="00AF72FC" w:rsidRDefault="009B0E6B" w:rsidP="009B0E6B">
      <w:pPr>
        <w:pStyle w:val="2ndLevelBullet"/>
        <w:spacing w:after="0"/>
        <w:rPr>
          <w:sz w:val="24"/>
          <w:szCs w:val="24"/>
        </w:rPr>
      </w:pPr>
      <w:r w:rsidRPr="00AF72FC">
        <w:rPr>
          <w:sz w:val="24"/>
          <w:szCs w:val="24"/>
          <w:lang w:bidi="es-ES"/>
        </w:rPr>
        <w:t xml:space="preserve">Transparencia </w:t>
      </w:r>
    </w:p>
    <w:p w14:paraId="2BFB6968" w14:textId="3AAACD1B" w:rsidR="009B0E6B" w:rsidRPr="00AF72FC" w:rsidRDefault="009B0E6B" w:rsidP="009B0E6B">
      <w:pPr>
        <w:pStyle w:val="2ndLevelBullet"/>
        <w:spacing w:after="0"/>
        <w:rPr>
          <w:sz w:val="24"/>
          <w:szCs w:val="24"/>
        </w:rPr>
      </w:pPr>
      <w:r w:rsidRPr="00AF72FC">
        <w:rPr>
          <w:sz w:val="24"/>
          <w:szCs w:val="24"/>
          <w:lang w:bidi="es-ES"/>
        </w:rPr>
        <w:t xml:space="preserve">Confianza </w:t>
      </w:r>
    </w:p>
    <w:p w14:paraId="2F2A071B" w14:textId="3B2F1971" w:rsidR="009B0E6B" w:rsidRPr="00AF72FC" w:rsidRDefault="009B0E6B" w:rsidP="009B0E6B">
      <w:pPr>
        <w:pStyle w:val="2ndLevelBullet"/>
        <w:spacing w:after="0"/>
        <w:rPr>
          <w:sz w:val="24"/>
          <w:szCs w:val="24"/>
        </w:rPr>
      </w:pPr>
      <w:r w:rsidRPr="00AF72FC">
        <w:rPr>
          <w:sz w:val="24"/>
          <w:szCs w:val="24"/>
          <w:lang w:bidi="es-ES"/>
        </w:rPr>
        <w:t>Alianzas</w:t>
      </w:r>
    </w:p>
    <w:p w14:paraId="1A9239F3" w14:textId="0C5F3323" w:rsidR="009B0E6B" w:rsidRPr="00AF72FC" w:rsidRDefault="009B0E6B" w:rsidP="009B0E6B">
      <w:pPr>
        <w:pStyle w:val="2ndLevelBullet"/>
        <w:spacing w:after="0"/>
        <w:rPr>
          <w:sz w:val="24"/>
          <w:szCs w:val="24"/>
        </w:rPr>
      </w:pPr>
      <w:r w:rsidRPr="00AF72FC">
        <w:rPr>
          <w:sz w:val="24"/>
          <w:szCs w:val="24"/>
          <w:lang w:bidi="es-ES"/>
        </w:rPr>
        <w:t>Estrategia</w:t>
      </w:r>
    </w:p>
    <w:p w14:paraId="5CC9E829" w14:textId="59297ECE" w:rsidR="00233175" w:rsidRPr="00AF72FC" w:rsidRDefault="009B0E6B" w:rsidP="00230587">
      <w:pPr>
        <w:pStyle w:val="2ndLevelBullet"/>
        <w:rPr>
          <w:sz w:val="24"/>
          <w:szCs w:val="24"/>
        </w:rPr>
      </w:pPr>
      <w:r w:rsidRPr="00AF72FC">
        <w:rPr>
          <w:sz w:val="24"/>
          <w:szCs w:val="24"/>
          <w:lang w:bidi="es-ES"/>
        </w:rPr>
        <w:t xml:space="preserve">Apreciación </w:t>
      </w:r>
    </w:p>
    <w:p w14:paraId="06893F76" w14:textId="77E648DA" w:rsidR="00230587" w:rsidRPr="00AF72FC" w:rsidRDefault="00230587" w:rsidP="00AF72FC">
      <w:pPr>
        <w:pStyle w:val="BulletedList"/>
        <w:rPr>
          <w:sz w:val="24"/>
          <w:szCs w:val="24"/>
          <w:lang w:eastAsia="en-US"/>
        </w:rPr>
      </w:pPr>
      <w:r w:rsidRPr="00AF72FC">
        <w:rPr>
          <w:sz w:val="24"/>
          <w:szCs w:val="24"/>
        </w:rPr>
        <w:t xml:space="preserve">Hoy, </w:t>
      </w:r>
      <w:r w:rsidRPr="00AF72FC">
        <w:rPr>
          <w:b/>
          <w:sz w:val="24"/>
          <w:szCs w:val="24"/>
        </w:rPr>
        <w:t>el AZSILC y la AZRSA colaboran en proyectos</w:t>
      </w:r>
      <w:r w:rsidRPr="00AF72FC">
        <w:rPr>
          <w:sz w:val="24"/>
          <w:szCs w:val="24"/>
        </w:rPr>
        <w:t>, con pleno respeto por la autonomía y financiación de los SILC.</w:t>
      </w:r>
    </w:p>
    <w:p w14:paraId="5A543994" w14:textId="533EB550" w:rsidR="00230587" w:rsidRPr="00AF72FC" w:rsidRDefault="00230587" w:rsidP="00AF72FC">
      <w:pPr>
        <w:pStyle w:val="BulletedList"/>
        <w:rPr>
          <w:sz w:val="24"/>
          <w:szCs w:val="24"/>
          <w:lang w:eastAsia="en-US"/>
        </w:rPr>
      </w:pPr>
      <w:r w:rsidRPr="00AF72FC">
        <w:rPr>
          <w:sz w:val="24"/>
          <w:szCs w:val="24"/>
        </w:rPr>
        <w:t>El resultado: una asociación verdadera, confianza y una red para la Vida Independiente próspera.</w:t>
      </w:r>
    </w:p>
    <w:p w14:paraId="6B6E65F5" w14:textId="5394834D" w:rsidR="0091547C" w:rsidRPr="00AF72FC" w:rsidRDefault="00790E01" w:rsidP="00AF72FC">
      <w:pPr>
        <w:pStyle w:val="Heading1"/>
      </w:pPr>
      <w:r w:rsidRPr="00AF72FC">
        <w:lastRenderedPageBreak/>
        <w:t>Principios rectores para la asociación SILC-DSE</w:t>
      </w:r>
    </w:p>
    <w:p w14:paraId="170D22D8" w14:textId="1AEE57F0" w:rsidR="008A24ED" w:rsidRPr="00AF72FC" w:rsidRDefault="00790E01" w:rsidP="00AF72FC">
      <w:pPr>
        <w:pStyle w:val="BulletedList"/>
        <w:rPr>
          <w:sz w:val="24"/>
          <w:szCs w:val="24"/>
        </w:rPr>
      </w:pPr>
      <w:r w:rsidRPr="00AF72FC">
        <w:rPr>
          <w:b/>
          <w:sz w:val="24"/>
          <w:szCs w:val="24"/>
        </w:rPr>
        <w:t xml:space="preserve">Respete el marco: </w:t>
      </w:r>
      <w:r w:rsidRPr="00AF72FC">
        <w:rPr>
          <w:sz w:val="24"/>
          <w:szCs w:val="24"/>
        </w:rPr>
        <w:t>cumpla con la ley, los Indicadores del SILC y las Garantías de la DSE.</w:t>
      </w:r>
    </w:p>
    <w:p w14:paraId="2F0F613F" w14:textId="1F95B15C" w:rsidR="008A24ED" w:rsidRPr="00AF72FC" w:rsidRDefault="00790E01" w:rsidP="00AF72FC">
      <w:pPr>
        <w:pStyle w:val="BulletedList"/>
        <w:rPr>
          <w:sz w:val="24"/>
          <w:szCs w:val="24"/>
        </w:rPr>
      </w:pPr>
      <w:r w:rsidRPr="00AF72FC">
        <w:rPr>
          <w:b/>
          <w:sz w:val="24"/>
          <w:szCs w:val="24"/>
        </w:rPr>
        <w:t>Asociación ejemplar:</w:t>
      </w:r>
      <w:r w:rsidRPr="00AF72FC">
        <w:rPr>
          <w:sz w:val="24"/>
          <w:szCs w:val="24"/>
        </w:rPr>
        <w:t xml:space="preserve"> sea el colaborador que desea tener.</w:t>
      </w:r>
    </w:p>
    <w:p w14:paraId="7738D59C" w14:textId="65EC3552" w:rsidR="00445F82" w:rsidRPr="00AF72FC" w:rsidRDefault="00843089" w:rsidP="00AF72FC">
      <w:pPr>
        <w:pStyle w:val="BulletedList"/>
        <w:rPr>
          <w:sz w:val="24"/>
          <w:szCs w:val="24"/>
        </w:rPr>
      </w:pPr>
      <w:r w:rsidRPr="00AF72FC">
        <w:rPr>
          <w:b/>
          <w:sz w:val="24"/>
          <w:szCs w:val="24"/>
        </w:rPr>
        <w:t>Sea transparente:</w:t>
      </w:r>
      <w:r w:rsidRPr="00AF72FC">
        <w:rPr>
          <w:sz w:val="24"/>
          <w:szCs w:val="24"/>
        </w:rPr>
        <w:t xml:space="preserve"> lidere con honestidad y apertura. </w:t>
      </w:r>
    </w:p>
    <w:p w14:paraId="7882DA16" w14:textId="531BEBE9" w:rsidR="00445F82" w:rsidRPr="00AF72FC" w:rsidRDefault="00843089" w:rsidP="00AF72FC">
      <w:pPr>
        <w:pStyle w:val="BulletedList"/>
        <w:rPr>
          <w:sz w:val="24"/>
          <w:szCs w:val="24"/>
        </w:rPr>
      </w:pPr>
      <w:r w:rsidRPr="00AF72FC">
        <w:rPr>
          <w:b/>
          <w:sz w:val="24"/>
          <w:szCs w:val="24"/>
        </w:rPr>
        <w:t xml:space="preserve">Sea coherente: </w:t>
      </w:r>
      <w:r w:rsidRPr="00AF72FC">
        <w:rPr>
          <w:sz w:val="24"/>
          <w:szCs w:val="24"/>
        </w:rPr>
        <w:t>sea proactivo y confiable.</w:t>
      </w:r>
    </w:p>
    <w:p w14:paraId="3B85C8E8" w14:textId="0AE7A348" w:rsidR="00445F82" w:rsidRPr="00AF72FC" w:rsidRDefault="00445F82" w:rsidP="00AF72FC">
      <w:pPr>
        <w:pStyle w:val="BulletedList"/>
        <w:rPr>
          <w:sz w:val="24"/>
          <w:szCs w:val="24"/>
        </w:rPr>
      </w:pPr>
      <w:r w:rsidRPr="00AF72FC">
        <w:rPr>
          <w:b/>
          <w:sz w:val="24"/>
          <w:szCs w:val="24"/>
        </w:rPr>
        <w:t>Planifiquen juntos:</w:t>
      </w:r>
      <w:r w:rsidRPr="00AF72FC">
        <w:rPr>
          <w:sz w:val="24"/>
          <w:szCs w:val="24"/>
        </w:rPr>
        <w:t xml:space="preserve"> aborde las responsabilidades compartidas de manera conjunta. </w:t>
      </w:r>
    </w:p>
    <w:p w14:paraId="2DCAB550" w14:textId="5A9931CD" w:rsidR="008A24ED" w:rsidRPr="00AF72FC" w:rsidRDefault="00843089" w:rsidP="00AF72FC">
      <w:pPr>
        <w:pStyle w:val="BulletedList"/>
        <w:rPr>
          <w:sz w:val="24"/>
          <w:szCs w:val="24"/>
        </w:rPr>
      </w:pPr>
      <w:r w:rsidRPr="00AF72FC">
        <w:rPr>
          <w:b/>
          <w:sz w:val="24"/>
          <w:szCs w:val="24"/>
        </w:rPr>
        <w:t xml:space="preserve">Vea la oportunidad: </w:t>
      </w:r>
      <w:r w:rsidRPr="00AF72FC">
        <w:rPr>
          <w:sz w:val="24"/>
          <w:szCs w:val="24"/>
        </w:rPr>
        <w:t xml:space="preserve">trate la interacción como crecimiento, no como una obligación. </w:t>
      </w:r>
    </w:p>
    <w:p w14:paraId="7CDE793D" w14:textId="77777777" w:rsidR="00AF72FC" w:rsidRDefault="00AF72FC">
      <w:pPr>
        <w:ind w:left="0"/>
        <w:rPr>
          <w:rFonts w:eastAsiaTheme="majorEastAsia" w:cstheme="majorBidi"/>
          <w:b/>
          <w:bCs/>
          <w:color w:val="70003E"/>
          <w:sz w:val="28"/>
          <w:szCs w:val="28"/>
          <w:lang w:bidi="es-ES"/>
        </w:rPr>
      </w:pPr>
      <w:r>
        <w:br w:type="page"/>
      </w:r>
    </w:p>
    <w:p w14:paraId="54E6AA12" w14:textId="30671006" w:rsidR="00230587" w:rsidRPr="00AF72FC" w:rsidRDefault="00230587" w:rsidP="00AF72FC">
      <w:pPr>
        <w:pStyle w:val="Heading1"/>
      </w:pPr>
      <w:r w:rsidRPr="00AF72FC">
        <w:lastRenderedPageBreak/>
        <w:t>Principios rectores para la asociación SILC-DSE (cont.)</w:t>
      </w:r>
    </w:p>
    <w:p w14:paraId="59D1E056" w14:textId="7FAE1849" w:rsidR="00471E53" w:rsidRPr="00AF72FC" w:rsidRDefault="00843089" w:rsidP="00AF72FC">
      <w:pPr>
        <w:pStyle w:val="BulletedList"/>
        <w:rPr>
          <w:sz w:val="24"/>
          <w:szCs w:val="24"/>
        </w:rPr>
      </w:pPr>
      <w:r w:rsidRPr="00AF72FC">
        <w:rPr>
          <w:b/>
          <w:sz w:val="24"/>
          <w:szCs w:val="24"/>
        </w:rPr>
        <w:t>Proteja la autonomía:</w:t>
      </w:r>
      <w:r w:rsidRPr="00AF72FC">
        <w:rPr>
          <w:sz w:val="24"/>
          <w:szCs w:val="24"/>
        </w:rPr>
        <w:t xml:space="preserve"> respete la independencia de SILC. </w:t>
      </w:r>
    </w:p>
    <w:p w14:paraId="02F47EA5" w14:textId="77777777" w:rsidR="00843089" w:rsidRPr="00AF72FC" w:rsidRDefault="00843089" w:rsidP="00AF72FC">
      <w:pPr>
        <w:pStyle w:val="BulletedList"/>
        <w:rPr>
          <w:sz w:val="24"/>
          <w:szCs w:val="24"/>
        </w:rPr>
      </w:pPr>
      <w:r w:rsidRPr="00AF72FC">
        <w:rPr>
          <w:b/>
          <w:sz w:val="24"/>
          <w:szCs w:val="24"/>
        </w:rPr>
        <w:t>Construya respeto:</w:t>
      </w:r>
      <w:r w:rsidRPr="00AF72FC">
        <w:rPr>
          <w:sz w:val="24"/>
          <w:szCs w:val="24"/>
        </w:rPr>
        <w:t xml:space="preserve"> involúcrese con confianza y consideración mutua.   </w:t>
      </w:r>
    </w:p>
    <w:p w14:paraId="73A650EA" w14:textId="52F54B68" w:rsidR="66771AE9" w:rsidRPr="00A91DC1" w:rsidRDefault="00843089" w:rsidP="00AF72FC">
      <w:pPr>
        <w:pStyle w:val="BulletedList"/>
      </w:pPr>
      <w:r w:rsidRPr="00AF72FC">
        <w:rPr>
          <w:b/>
          <w:sz w:val="24"/>
          <w:szCs w:val="24"/>
        </w:rPr>
        <w:t xml:space="preserve">Permanezca enfocado en el propósito: </w:t>
      </w:r>
      <w:r w:rsidRPr="00AF72FC">
        <w:rPr>
          <w:sz w:val="24"/>
          <w:szCs w:val="24"/>
        </w:rPr>
        <w:t xml:space="preserve">recuerde que cada esfuerzo fortalece la red para la vida independiente y promueve la filosofía de la vida independiente. </w:t>
      </w:r>
      <w:r>
        <w:br w:type="page"/>
      </w:r>
    </w:p>
    <w:p w14:paraId="6630EC0C" w14:textId="5F828628" w:rsidR="5527752F" w:rsidRPr="00A91DC1" w:rsidRDefault="21E1EC3F" w:rsidP="00AF72FC">
      <w:pPr>
        <w:pStyle w:val="Heading1"/>
        <w:rPr>
          <w:rFonts w:eastAsia="Aptos" w:cs="Aptos"/>
          <w:color w:val="FF0000"/>
          <w:sz w:val="24"/>
          <w:szCs w:val="24"/>
        </w:rPr>
      </w:pPr>
      <w:r w:rsidRPr="00A91DC1">
        <w:lastRenderedPageBreak/>
        <w:t>Recursos para orientación adicional</w:t>
      </w:r>
    </w:p>
    <w:p w14:paraId="194E294D" w14:textId="62373D52" w:rsidR="5405F338" w:rsidRPr="00026124" w:rsidRDefault="006D2C55" w:rsidP="00AF72FC">
      <w:pPr>
        <w:pStyle w:val="BulletedList"/>
        <w:rPr>
          <w:sz w:val="24"/>
          <w:szCs w:val="24"/>
        </w:rPr>
      </w:pPr>
      <w:hyperlink r:id="rId19" w:tgtFrame="_blank" w:tooltip="ver los indicadores" w:history="1">
        <w:r w:rsidRPr="00026124">
          <w:rPr>
            <w:rFonts w:cs="Tahoma"/>
            <w:color w:val="162A83"/>
            <w:sz w:val="24"/>
            <w:szCs w:val="24"/>
            <w:u w:val="single"/>
            <w:shd w:val="clear" w:color="auto" w:fill="FFFFFF"/>
          </w:rPr>
          <w:t>Indicadores y Garantías del SILC para las Entidades Estatales Designadas</w:t>
        </w:r>
      </w:hyperlink>
    </w:p>
    <w:p w14:paraId="68F75DD9" w14:textId="1B081E50" w:rsidR="006D2C55" w:rsidRPr="00026124" w:rsidRDefault="006D2C55" w:rsidP="00AF72FC">
      <w:pPr>
        <w:pStyle w:val="BulletedList"/>
        <w:rPr>
          <w:sz w:val="24"/>
          <w:szCs w:val="24"/>
        </w:rPr>
      </w:pPr>
      <w:hyperlink r:id="rId20" w:history="1">
        <w:r w:rsidRPr="00026124">
          <w:rPr>
            <w:rStyle w:val="Hyperlink"/>
          </w:rPr>
          <w:t>Guía para presidentes, miembros y administradores de los SILC</w:t>
        </w:r>
      </w:hyperlink>
    </w:p>
    <w:p w14:paraId="457466E6" w14:textId="38236DC5" w:rsidR="00254A09" w:rsidRPr="00026124" w:rsidRDefault="00254A09" w:rsidP="00AF72FC">
      <w:pPr>
        <w:pStyle w:val="BulletedList"/>
        <w:rPr>
          <w:sz w:val="24"/>
          <w:szCs w:val="24"/>
        </w:rPr>
      </w:pPr>
      <w:hyperlink r:id="rId21" w:tooltip="Ver información sobre la parte 1 de la capacitación" w:history="1">
        <w:r w:rsidRPr="00026124">
          <w:rPr>
            <w:rStyle w:val="Hyperlink"/>
            <w:rFonts w:cs="Tahoma"/>
            <w:color w:val="162A83"/>
          </w:rPr>
          <w:t>La DSE, los roles y responsabilidades del SILC y las regulaciones: parte 1.</w:t>
        </w:r>
      </w:hyperlink>
    </w:p>
    <w:p w14:paraId="6158B568" w14:textId="4FFBD570" w:rsidR="00254A09" w:rsidRPr="00026124" w:rsidRDefault="00254A09" w:rsidP="00AF72FC">
      <w:pPr>
        <w:pStyle w:val="BulletedList"/>
        <w:rPr>
          <w:sz w:val="24"/>
          <w:szCs w:val="24"/>
        </w:rPr>
      </w:pPr>
      <w:hyperlink r:id="rId22" w:tooltip="Ver la parte 2 de la capacitación" w:history="1">
        <w:r w:rsidRPr="00026124">
          <w:rPr>
            <w:rStyle w:val="Hyperlink"/>
            <w:rFonts w:cs="Tahoma"/>
            <w:color w:val="162A83"/>
          </w:rPr>
          <w:t>La DSE, los roles y responsabilidades del SILC y las regulaciones: parte 2.</w:t>
        </w:r>
      </w:hyperlink>
    </w:p>
    <w:p w14:paraId="36A56EEA" w14:textId="005C132A" w:rsidR="00254A09" w:rsidRPr="00026124" w:rsidRDefault="00254A09" w:rsidP="00AF72FC">
      <w:pPr>
        <w:pStyle w:val="BulletedList"/>
        <w:rPr>
          <w:sz w:val="24"/>
          <w:szCs w:val="24"/>
        </w:rPr>
      </w:pPr>
      <w:hyperlink r:id="rId23" w:history="1">
        <w:r w:rsidRPr="00026124">
          <w:rPr>
            <w:rStyle w:val="Hyperlink"/>
            <w:rFonts w:cs="Tahoma"/>
            <w:color w:val="162A83"/>
          </w:rPr>
          <w:t>Los SILC y la importancia de la autonomía: luchas de poder y relaciones con la DSE y la red para la Vida Independiente (1,5 horas)</w:t>
        </w:r>
      </w:hyperlink>
    </w:p>
    <w:p w14:paraId="6782DC42" w14:textId="3373DF32" w:rsidR="5405F338" w:rsidRPr="00026124" w:rsidRDefault="004760A7" w:rsidP="00AF72FC">
      <w:pPr>
        <w:pStyle w:val="BulletedList"/>
        <w:rPr>
          <w:sz w:val="24"/>
          <w:szCs w:val="24"/>
        </w:rPr>
      </w:pPr>
      <w:hyperlink r:id="rId24" w:history="1">
        <w:r w:rsidRPr="00026124">
          <w:rPr>
            <w:rStyle w:val="Hyperlink"/>
            <w:sz w:val="24"/>
            <w:szCs w:val="24"/>
          </w:rPr>
          <w:t>Creación de una relación efectiva entre la DSE, el SILC y el CIL</w:t>
        </w:r>
      </w:hyperlink>
    </w:p>
    <w:p w14:paraId="5676ACE6" w14:textId="730E911D" w:rsidR="084D63BB" w:rsidRPr="00A91DC1" w:rsidRDefault="084D63BB" w:rsidP="00254A09">
      <w:r w:rsidRPr="00A91DC1">
        <w:rPr>
          <w:lang w:bidi="es-ES"/>
        </w:rPr>
        <w:br w:type="page"/>
      </w:r>
    </w:p>
    <w:p w14:paraId="48815A50" w14:textId="1FD74F44" w:rsidR="67D29D3F" w:rsidRPr="00A91DC1" w:rsidRDefault="44A2146F" w:rsidP="00AF72FC">
      <w:pPr>
        <w:pStyle w:val="Heading1"/>
      </w:pPr>
      <w:r w:rsidRPr="00A91DC1">
        <w:lastRenderedPageBreak/>
        <w:t>Aprender y compartir: su experiencia importa</w:t>
      </w:r>
    </w:p>
    <w:p w14:paraId="4D2C3240" w14:textId="11869405" w:rsidR="6AB4AD76" w:rsidRPr="00230587" w:rsidRDefault="10B95FE8" w:rsidP="00230587">
      <w:pPr>
        <w:rPr>
          <w:sz w:val="24"/>
          <w:szCs w:val="24"/>
        </w:rPr>
      </w:pPr>
      <w:r w:rsidRPr="00230587">
        <w:rPr>
          <w:sz w:val="24"/>
          <w:szCs w:val="24"/>
          <w:lang w:bidi="es-ES"/>
        </w:rPr>
        <w:t>La grabación se ha detenido: ahora es el momento de compartir.</w:t>
      </w:r>
    </w:p>
    <w:p w14:paraId="39D91857" w14:textId="4ACCE76B" w:rsidR="12333EC4" w:rsidRPr="00AF72FC" w:rsidRDefault="12333EC4" w:rsidP="00254A09">
      <w:pPr>
        <w:pStyle w:val="Heading2"/>
        <w:rPr>
          <w:sz w:val="28"/>
          <w:szCs w:val="28"/>
        </w:rPr>
      </w:pPr>
      <w:r w:rsidRPr="00AF72FC">
        <w:rPr>
          <w:sz w:val="28"/>
          <w:szCs w:val="28"/>
          <w:lang w:bidi="es-ES"/>
        </w:rPr>
        <w:t>Formas de participar:</w:t>
      </w:r>
    </w:p>
    <w:p w14:paraId="76D8286E" w14:textId="580F6F78" w:rsidR="12333EC4" w:rsidRPr="00AF72FC" w:rsidRDefault="616B65EC" w:rsidP="00AF72FC">
      <w:pPr>
        <w:pStyle w:val="BulletedList"/>
        <w:rPr>
          <w:rFonts w:eastAsia="Aptos" w:cs="Aptos"/>
          <w:sz w:val="24"/>
          <w:szCs w:val="24"/>
        </w:rPr>
      </w:pPr>
      <w:r w:rsidRPr="00AF72FC">
        <w:rPr>
          <w:sz w:val="24"/>
          <w:szCs w:val="24"/>
        </w:rPr>
        <w:t>Levante la mano para que se le dé la palabra</w:t>
      </w:r>
    </w:p>
    <w:p w14:paraId="46566531" w14:textId="23797CB7" w:rsidR="12333EC4" w:rsidRPr="00AF72FC" w:rsidRDefault="616B65EC" w:rsidP="00AF72FC">
      <w:pPr>
        <w:pStyle w:val="BulletedList"/>
        <w:rPr>
          <w:rFonts w:eastAsia="Aptos" w:cs="Aptos"/>
          <w:sz w:val="24"/>
          <w:szCs w:val="24"/>
        </w:rPr>
      </w:pPr>
      <w:r w:rsidRPr="00AF72FC">
        <w:rPr>
          <w:sz w:val="24"/>
          <w:szCs w:val="24"/>
        </w:rPr>
        <w:t>Encienda la cámara si se siente cómodo</w:t>
      </w:r>
    </w:p>
    <w:p w14:paraId="6EF0DACB" w14:textId="619571CB" w:rsidR="12333EC4" w:rsidRPr="00AF72FC" w:rsidRDefault="616B65EC" w:rsidP="00AF72FC">
      <w:pPr>
        <w:pStyle w:val="BulletedList"/>
        <w:rPr>
          <w:rFonts w:eastAsia="Aptos" w:cs="Aptos"/>
          <w:sz w:val="24"/>
          <w:szCs w:val="24"/>
        </w:rPr>
      </w:pPr>
      <w:r w:rsidRPr="00AF72FC">
        <w:rPr>
          <w:sz w:val="24"/>
          <w:szCs w:val="24"/>
        </w:rPr>
        <w:t>Use el chat para compartir ideas, preguntas, recursos o herramientas</w:t>
      </w:r>
    </w:p>
    <w:p w14:paraId="4491CB50" w14:textId="6C62AF5C" w:rsidR="12333EC4" w:rsidRPr="00AF72FC" w:rsidRDefault="616B65EC" w:rsidP="00AF72FC">
      <w:pPr>
        <w:pStyle w:val="BulletedList"/>
        <w:rPr>
          <w:rFonts w:eastAsia="Aptos" w:cs="Aptos"/>
          <w:sz w:val="24"/>
          <w:szCs w:val="24"/>
        </w:rPr>
      </w:pPr>
      <w:r w:rsidRPr="00AF72FC">
        <w:rPr>
          <w:sz w:val="24"/>
          <w:szCs w:val="24"/>
        </w:rPr>
        <w:t>Reaccione, reflexione o aporte sobre lo que otras personas digan</w:t>
      </w:r>
    </w:p>
    <w:p w14:paraId="564BA145" w14:textId="315B005C" w:rsidR="12333EC4" w:rsidRPr="00AF72FC" w:rsidRDefault="616B65EC" w:rsidP="00AF72FC">
      <w:pPr>
        <w:pStyle w:val="BulletedList"/>
        <w:rPr>
          <w:rFonts w:eastAsia="Aptos" w:cs="Aptos"/>
          <w:b/>
          <w:bCs/>
          <w:sz w:val="24"/>
          <w:szCs w:val="24"/>
        </w:rPr>
      </w:pPr>
      <w:r w:rsidRPr="00AF72FC">
        <w:rPr>
          <w:sz w:val="24"/>
          <w:szCs w:val="24"/>
        </w:rPr>
        <w:t>Comparta desafíos o éxitos reales de su CIL</w:t>
      </w:r>
    </w:p>
    <w:p w14:paraId="41040BE6" w14:textId="7073EE17" w:rsidR="12333EC4" w:rsidRPr="00230587" w:rsidRDefault="616B65EC" w:rsidP="00230587">
      <w:pPr>
        <w:jc w:val="center"/>
        <w:rPr>
          <w:b/>
          <w:bCs/>
          <w:sz w:val="24"/>
          <w:szCs w:val="24"/>
        </w:rPr>
      </w:pPr>
      <w:r w:rsidRPr="00230587">
        <w:rPr>
          <w:b/>
          <w:sz w:val="24"/>
          <w:szCs w:val="24"/>
          <w:lang w:bidi="es-ES"/>
        </w:rPr>
        <w:t>Convirtamos ideas en acción: su voz es la parte más valiosa de esta sesión.</w:t>
      </w:r>
    </w:p>
    <w:p w14:paraId="70601392" w14:textId="551A86D4" w:rsidR="0020685A" w:rsidRPr="00A91DC1" w:rsidRDefault="001138B5" w:rsidP="00AF72FC">
      <w:pPr>
        <w:pStyle w:val="Heading1"/>
      </w:pPr>
      <w:r w:rsidRPr="00A91DC1">
        <w:br w:type="page"/>
      </w:r>
      <w:r w:rsidR="7E5D7A56" w:rsidRPr="00A91DC1">
        <w:lastRenderedPageBreak/>
        <w:t>Evaluación</w:t>
      </w:r>
    </w:p>
    <w:p w14:paraId="586BE4FA" w14:textId="0E785DB3" w:rsidR="7BF69556" w:rsidRPr="00230587" w:rsidRDefault="7E5D7A56" w:rsidP="00230587">
      <w:pPr>
        <w:rPr>
          <w:rFonts w:eastAsia="Aptos" w:cs="Aptos"/>
          <w:color w:val="000000" w:themeColor="text1"/>
        </w:rPr>
      </w:pPr>
      <w:r w:rsidRPr="00A91DC1">
        <w:rPr>
          <w:lang w:bidi="es-ES"/>
        </w:rPr>
        <w:t>Gracias por participar en la actividad de Aprender y Compartir del día de hoy.</w:t>
      </w:r>
    </w:p>
    <w:p w14:paraId="171FB9B1" w14:textId="3D73309D" w:rsidR="0020685A" w:rsidRPr="00A91DC1" w:rsidRDefault="7E5D7A56" w:rsidP="00230587">
      <w:pPr>
        <w:rPr>
          <w:rFonts w:eastAsia="Aptos" w:cs="Aptos"/>
          <w:color w:val="000000" w:themeColor="text1"/>
        </w:rPr>
      </w:pPr>
      <w:r w:rsidRPr="00A91DC1">
        <w:rPr>
          <w:lang w:bidi="es-ES"/>
        </w:rPr>
        <w:t>Sus comentarios son importantes y nos ayudan a planificar futuras capacitaciones.</w:t>
      </w:r>
    </w:p>
    <w:p w14:paraId="313C8562" w14:textId="050B7C81" w:rsidR="0020685A" w:rsidRPr="00A91DC1" w:rsidRDefault="7E5D7A56" w:rsidP="00230587">
      <w:pPr>
        <w:rPr>
          <w:rFonts w:eastAsia="Aptos" w:cs="Aptos"/>
          <w:color w:val="000000" w:themeColor="text1"/>
        </w:rPr>
      </w:pPr>
      <w:r w:rsidRPr="00A91DC1">
        <w:rPr>
          <w:lang w:bidi="es-ES"/>
        </w:rPr>
        <w:t>Por favor, utilice el enlace en el chat para compartir sus comentarios.</w:t>
      </w:r>
    </w:p>
    <w:p w14:paraId="16F12E03" w14:textId="44D9B82E" w:rsidR="0020685A" w:rsidRPr="00A91DC1" w:rsidRDefault="5F272759" w:rsidP="00254A09">
      <w:hyperlink r:id="rId25" w:history="1">
        <w:r w:rsidRPr="00762A6A">
          <w:rPr>
            <w:rStyle w:val="Hyperlink"/>
            <w:lang w:bidi="es-ES"/>
          </w:rPr>
          <w:t>Enlace de evaluació</w:t>
        </w:r>
        <w:r w:rsidRPr="00762A6A">
          <w:rPr>
            <w:rStyle w:val="Hyperlink"/>
            <w:lang w:bidi="es-ES"/>
          </w:rPr>
          <w:t>n</w:t>
        </w:r>
      </w:hyperlink>
      <w:r w:rsidRPr="00A91DC1">
        <w:rPr>
          <w:color w:val="000000" w:themeColor="text1"/>
          <w:lang w:bidi="es-ES"/>
        </w:rPr>
        <w:t xml:space="preserve">: </w:t>
      </w:r>
    </w:p>
    <w:p w14:paraId="659605C6" w14:textId="7CF31C0E" w:rsidR="084D63BB" w:rsidRPr="00A91DC1" w:rsidRDefault="00762A6A" w:rsidP="00254A09">
      <w:r>
        <w:rPr>
          <w:noProof/>
          <w:lang w:bidi="es-ES"/>
        </w:rPr>
        <w:drawing>
          <wp:inline distT="0" distB="0" distL="0" distR="0" wp14:anchorId="65642E25" wp14:editId="29E319FA">
            <wp:extent cx="1545220" cy="1395839"/>
            <wp:effectExtent l="0" t="0" r="4445" b="1270"/>
            <wp:docPr id="2012725320" name="Picture 1" descr="QR Code: https://umt.co1.qualtrics.com/jfe/form/SV_5hHfWHfb3Eaxp5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725320" name="Picture 1" descr="QR Code: https://umt.co1.qualtrics.com/jfe/form/SV_5hHfWHfb3Eaxp5k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9" t="9002" b="9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615" cy="141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84D63BB" w:rsidRPr="00A91DC1">
        <w:rPr>
          <w:lang w:bidi="es-ES"/>
        </w:rPr>
        <w:br w:type="page"/>
      </w:r>
    </w:p>
    <w:p w14:paraId="711FEA26" w14:textId="140D88AA" w:rsidR="0020685A" w:rsidRPr="00A91DC1" w:rsidRDefault="1D2F7608" w:rsidP="00AF72FC">
      <w:pPr>
        <w:pStyle w:val="Heading1"/>
        <w:rPr>
          <w:rFonts w:eastAsia="Aptos"/>
        </w:rPr>
      </w:pPr>
      <w:r w:rsidRPr="00A91DC1">
        <w:lastRenderedPageBreak/>
        <w:t>¡Cómo contactarnos!</w:t>
      </w:r>
    </w:p>
    <w:p w14:paraId="71D0FF49" w14:textId="72377D4F" w:rsidR="0020685A" w:rsidRPr="003D4E4F" w:rsidRDefault="4AC69094" w:rsidP="00254A09">
      <w:pPr>
        <w:pStyle w:val="Heading2"/>
        <w:rPr>
          <w:rFonts w:ascii="Montserrat" w:eastAsia="Aptos" w:hAnsi="Montserrat"/>
          <w:sz w:val="28"/>
          <w:szCs w:val="28"/>
          <w:lang w:val="en-US"/>
        </w:rPr>
      </w:pPr>
      <w:r w:rsidRPr="003D4E4F">
        <w:rPr>
          <w:rFonts w:ascii="Montserrat" w:eastAsia="Montserrat" w:hAnsi="Montserrat" w:cs="Montserrat"/>
          <w:sz w:val="28"/>
          <w:szCs w:val="28"/>
          <w:lang w:val="en-US" w:bidi="es-ES"/>
        </w:rPr>
        <w:t xml:space="preserve">Sitio Web: </w:t>
      </w:r>
      <w:hyperlink r:id="rId27">
        <w:r w:rsidRPr="003D4E4F">
          <w:rPr>
            <w:rStyle w:val="Hyperlink"/>
            <w:rFonts w:ascii="Montserrat" w:eastAsia="Montserrat" w:hAnsi="Montserrat" w:cs="Montserrat"/>
            <w:sz w:val="28"/>
            <w:szCs w:val="28"/>
            <w:lang w:val="en-US" w:bidi="es-ES"/>
          </w:rPr>
          <w:t>https://tinyurl.com/ILTTACenter</w:t>
        </w:r>
      </w:hyperlink>
      <w:r w:rsidRPr="003D4E4F">
        <w:rPr>
          <w:rFonts w:ascii="Montserrat" w:eastAsia="Montserrat" w:hAnsi="Montserrat" w:cs="Montserrat"/>
          <w:sz w:val="28"/>
          <w:szCs w:val="28"/>
          <w:lang w:val="en-US" w:bidi="es-ES"/>
        </w:rPr>
        <w:t xml:space="preserve"> </w:t>
      </w:r>
    </w:p>
    <w:p w14:paraId="66D3CB96" w14:textId="66A6F4A0" w:rsidR="0020685A" w:rsidRPr="00A91DC1" w:rsidRDefault="0020685A" w:rsidP="00254A09">
      <w:r w:rsidRPr="00A91DC1">
        <w:rPr>
          <w:lang w:bidi="es-ES"/>
        </w:rPr>
        <w:t>Solicite capacitación o asistencia técnica (ayuda experta para su organización): complete un formulario en nuestro sitio web para hacernos saber cómo podemos ayudarlo.</w:t>
      </w:r>
    </w:p>
    <w:p w14:paraId="455C60DC" w14:textId="53AE1794" w:rsidR="0020685A" w:rsidRPr="00A91DC1" w:rsidRDefault="4AC69094" w:rsidP="00254A09">
      <w:r w:rsidRPr="00A91DC1">
        <w:rPr>
          <w:rStyle w:val="Heading2Char"/>
          <w:rFonts w:ascii="Montserrat" w:eastAsia="Montserrat" w:hAnsi="Montserrat" w:cs="Montserrat"/>
          <w:lang w:bidi="es-ES"/>
        </w:rPr>
        <w:t>Llame al</w:t>
      </w:r>
      <w:r w:rsidRPr="00A91DC1">
        <w:rPr>
          <w:b/>
          <w:lang w:bidi="es-ES"/>
        </w:rPr>
        <w:t>:</w:t>
      </w:r>
      <w:r w:rsidRPr="00A91DC1">
        <w:rPr>
          <w:lang w:bidi="es-ES"/>
        </w:rPr>
        <w:t> 406-243-5300 y alguien se comunicará con usted lo antes posible.</w:t>
      </w:r>
    </w:p>
    <w:p w14:paraId="296D9D27" w14:textId="594A3BE0" w:rsidR="000D1689" w:rsidRPr="00AF72FC" w:rsidRDefault="00525C40" w:rsidP="00254A09">
      <w:pPr>
        <w:rPr>
          <w:b/>
          <w:bCs/>
          <w:sz w:val="24"/>
          <w:szCs w:val="24"/>
        </w:rPr>
      </w:pPr>
      <w:r w:rsidRPr="00AF72FC">
        <w:rPr>
          <w:b/>
          <w:bCs/>
          <w:sz w:val="24"/>
          <w:szCs w:val="24"/>
          <w:lang w:bidi="es-ES"/>
        </w:rPr>
        <w:t>Inscríbase a eventos y para recibir anuncios: </w:t>
      </w:r>
    </w:p>
    <w:p w14:paraId="0044C7DB" w14:textId="798BA75F" w:rsidR="00AF72FC" w:rsidRPr="007E10D0" w:rsidRDefault="00AF72FC" w:rsidP="007E10D0">
      <w:pPr>
        <w:rPr>
          <w:rFonts w:eastAsia="Aptos"/>
          <w:sz w:val="24"/>
          <w:szCs w:val="24"/>
        </w:rPr>
      </w:pPr>
      <w:r w:rsidRPr="00AF72FC">
        <w:rPr>
          <w:b/>
          <w:bCs/>
          <w:noProof/>
          <w:sz w:val="28"/>
          <w:szCs w:val="28"/>
          <w:lang w:bidi="es-ES"/>
        </w:rPr>
        <w:drawing>
          <wp:anchor distT="0" distB="0" distL="114300" distR="114300" simplePos="0" relativeHeight="251658240" behindDoc="0" locked="0" layoutInCell="1" allowOverlap="1" wp14:anchorId="77EC5C07" wp14:editId="032FAD7F">
            <wp:simplePos x="0" y="0"/>
            <wp:positionH relativeFrom="margin">
              <wp:posOffset>-66675</wp:posOffset>
            </wp:positionH>
            <wp:positionV relativeFrom="margin">
              <wp:posOffset>2945130</wp:posOffset>
            </wp:positionV>
            <wp:extent cx="1052830" cy="1052830"/>
            <wp:effectExtent l="0" t="0" r="0" b="0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a16="http://schemas.microsoft.com/office/drawing/2014/main" xmlns:dgm="http://schemas.openxmlformats.org/drawingml/2006/diagram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5C40" w:rsidRPr="00AF72FC">
        <w:rPr>
          <w:sz w:val="24"/>
          <w:szCs w:val="24"/>
          <w:lang w:bidi="es-ES"/>
        </w:rPr>
        <w:t>Visite nuestro sitio web para inscribirse a las actualizaciones sobre capacitaciones en vivo, asistencia técnica grupal, nuevas publicaciones y otros eventos en el Centro.</w:t>
      </w:r>
      <w:r>
        <w:rPr>
          <w:lang w:val="it-IT"/>
        </w:rPr>
        <w:br w:type="page"/>
      </w:r>
    </w:p>
    <w:p w14:paraId="07F3ACCB" w14:textId="7AC204F3" w:rsidR="00E60A05" w:rsidRPr="003D4E4F" w:rsidRDefault="5A342086" w:rsidP="00AF72FC">
      <w:pPr>
        <w:pStyle w:val="Heading1"/>
        <w:rPr>
          <w:lang w:val="it-IT"/>
        </w:rPr>
      </w:pPr>
      <w:proofErr w:type="spellStart"/>
      <w:r w:rsidRPr="003D4E4F">
        <w:rPr>
          <w:lang w:val="it-IT"/>
        </w:rPr>
        <w:lastRenderedPageBreak/>
        <w:t>Acerca</w:t>
      </w:r>
      <w:proofErr w:type="spellEnd"/>
      <w:r w:rsidRPr="003D4E4F">
        <w:rPr>
          <w:lang w:val="it-IT"/>
        </w:rPr>
        <w:t xml:space="preserve"> del Centro IL T&amp;TA</w:t>
      </w:r>
    </w:p>
    <w:p w14:paraId="43BA3300" w14:textId="77777777" w:rsidR="002F3ACD" w:rsidRPr="003D4E4F" w:rsidRDefault="002F3ACD" w:rsidP="00254A09">
      <w:pPr>
        <w:rPr>
          <w:lang w:val="it-IT"/>
        </w:rPr>
      </w:pPr>
    </w:p>
    <w:p w14:paraId="08EF8965" w14:textId="67CF803D" w:rsidR="002F3ACD" w:rsidRPr="00A91DC1" w:rsidRDefault="000D1689" w:rsidP="00254A09">
      <w:r w:rsidRPr="00D17982">
        <w:rPr>
          <w:noProof/>
          <w:lang w:bidi="es-ES"/>
        </w:rPr>
        <w:drawing>
          <wp:inline distT="0" distB="0" distL="0" distR="0" wp14:anchorId="3AAF0404" wp14:editId="0F4FF95C">
            <wp:extent cx="3714750" cy="1647825"/>
            <wp:effectExtent l="0" t="0" r="6350" b="3175"/>
            <wp:docPr id="372368201" name="Picture 372368201" descr="Logotipo de IL T&amp;TA – Centro de Capacitación y Asistencia Técnica para la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68201" name="Picture 372368201" descr="Logotipo de IL T&amp;TA – Centro de Capacitación y Asistencia Técnica para la Vida Independiente.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A173D" w14:textId="7DA0EA42" w:rsidR="00207BE9" w:rsidRPr="00A91DC1" w:rsidRDefault="00E60A05" w:rsidP="007E10D0">
      <w:r w:rsidRPr="00A91DC1">
        <w:rPr>
          <w:lang w:bidi="es-ES"/>
        </w:rPr>
        <w:t>Este proyecto se realiza mediante un contrato con la Administración de Discapacidades, Administración para la Vida Comunitaria, del Departamento de Salud y Servicios Humanos.</w:t>
      </w:r>
      <w:r w:rsidR="00207BE9" w:rsidRPr="00A91DC1">
        <w:rPr>
          <w:lang w:bidi="es-ES"/>
        </w:rPr>
        <w:br w:type="page"/>
      </w:r>
    </w:p>
    <w:p w14:paraId="31352A8D" w14:textId="3E8BF9D5" w:rsidR="2BEEAFE4" w:rsidRPr="003D4E4F" w:rsidRDefault="2BEEAFE4" w:rsidP="00AF72FC">
      <w:pPr>
        <w:pStyle w:val="Heading1"/>
        <w:rPr>
          <w:lang w:val="it-IT"/>
        </w:rPr>
      </w:pPr>
      <w:r w:rsidRPr="003D4E4F">
        <w:rPr>
          <w:lang w:val="it-IT"/>
        </w:rPr>
        <w:lastRenderedPageBreak/>
        <w:t>Acerca del Centro IL T&amp; TA</w:t>
      </w:r>
    </w:p>
    <w:p w14:paraId="158DFC0B" w14:textId="77777777" w:rsidR="2BEEAFE4" w:rsidRPr="00A91DC1" w:rsidRDefault="2BEEAFE4" w:rsidP="00254A09">
      <w:r w:rsidRPr="00A91DC1">
        <w:rPr>
          <w:lang w:bidi="es-ES"/>
        </w:rPr>
        <w:t xml:space="preserve">El Centro de Capacitación y Asistencia Técnica para la Vida Independiente (Centro IL T&amp;TA) está disponible para usted a través de un contrato con el Departamento de Salud y Servicios Humanos de los </w:t>
      </w:r>
      <w:proofErr w:type="gramStart"/>
      <w:r w:rsidRPr="00A91DC1">
        <w:rPr>
          <w:lang w:bidi="es-ES"/>
        </w:rPr>
        <w:t>EE.UU.</w:t>
      </w:r>
      <w:proofErr w:type="gramEnd"/>
      <w:r w:rsidRPr="00A91DC1">
        <w:rPr>
          <w:lang w:bidi="es-ES"/>
        </w:rPr>
        <w:t xml:space="preserve"> </w:t>
      </w:r>
    </w:p>
    <w:p w14:paraId="7274A7D2" w14:textId="399A5936" w:rsidR="2BEEAFE4" w:rsidRPr="00A91DC1" w:rsidRDefault="2BEEAFE4" w:rsidP="00254A09">
      <w:r w:rsidRPr="00A91DC1">
        <w:rPr>
          <w:lang w:bidi="es-ES"/>
        </w:rPr>
        <w:t xml:space="preserve">El Centro IL T&amp;TA proporciona capacitación experta y asistencia técnica a Centros para la Vida Independiente (CIL), Consejos para la Vida Independiente a Nivel Estatal (SILC) y Entidades Estatales Designadas (DSE). </w:t>
      </w:r>
    </w:p>
    <w:p w14:paraId="281BDDD8" w14:textId="11F97BE0" w:rsidR="2BEEAFE4" w:rsidRPr="00A91DC1" w:rsidRDefault="2BEEAFE4" w:rsidP="00254A09">
      <w:r w:rsidRPr="00A91DC1">
        <w:rPr>
          <w:lang w:bidi="es-ES"/>
        </w:rPr>
        <w:t>El Centro es operado por el Instituto Rural para Comunidades Inclusivas de la Universidad de Montana.</w:t>
      </w:r>
    </w:p>
    <w:p w14:paraId="4CCF68AA" w14:textId="798F2ED0" w:rsidR="2BEEAFE4" w:rsidRPr="00A91DC1" w:rsidRDefault="000D1689" w:rsidP="00254A09">
      <w:pPr>
        <w:rPr>
          <w:rFonts w:eastAsia="Aptos" w:cs="Aptos"/>
        </w:rPr>
      </w:pPr>
      <w:r w:rsidRPr="00552292">
        <w:rPr>
          <w:noProof/>
          <w:lang w:bidi="es-ES"/>
        </w:rPr>
        <w:drawing>
          <wp:inline distT="0" distB="0" distL="0" distR="0" wp14:anchorId="11E1A432" wp14:editId="42B33379">
            <wp:extent cx="2401556" cy="474980"/>
            <wp:effectExtent l="0" t="0" r="0" b="0"/>
            <wp:docPr id="1924688773" name="Picture 2" descr="Logotipos de la Universidad de Montana y del Centro IL T&amp;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88773" name="Picture 2" descr="Logotipos de la Universidad de Montana y del Centro IL T&amp;TA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56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17982">
        <w:rPr>
          <w:noProof/>
          <w:lang w:bidi="es-ES"/>
        </w:rPr>
        <w:drawing>
          <wp:inline distT="0" distB="0" distL="0" distR="0" wp14:anchorId="0503D87A" wp14:editId="46675921">
            <wp:extent cx="996704" cy="442128"/>
            <wp:effectExtent l="0" t="0" r="0" b="2540"/>
            <wp:docPr id="423571512" name="Picture 423571512" descr="Logotipo de IL T&amp;TA – Centro de Capacitación y Asistencia Técnica para la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71512" name="Picture 423571512" descr="Logotipo de IL T&amp;TA – Centro de Capacitación y Asistencia Técnica para la Vida Independiente.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81" cy="47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2BEEAFE4" w:rsidRPr="00A91DC1" w:rsidSect="003D4E4F">
      <w:headerReference w:type="default" r:id="rId32"/>
      <w:footerReference w:type="default" r:id="rId33"/>
      <w:pgSz w:w="7200" w:h="8640"/>
      <w:pgMar w:top="513" w:right="630" w:bottom="360" w:left="720" w:header="432" w:footer="26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E8F7" w14:textId="77777777" w:rsidR="00D14803" w:rsidRDefault="00D14803" w:rsidP="00254A09">
      <w:r>
        <w:separator/>
      </w:r>
    </w:p>
  </w:endnote>
  <w:endnote w:type="continuationSeparator" w:id="0">
    <w:p w14:paraId="604D8E63" w14:textId="77777777" w:rsidR="00D14803" w:rsidRDefault="00D14803" w:rsidP="0025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17238E" w:rsidRPr="00E22AFF" w:rsidRDefault="007E67B2" w:rsidP="003D4E4F">
    <w:pPr>
      <w:pStyle w:val="Footer"/>
      <w:jc w:val="center"/>
    </w:pPr>
    <w:r w:rsidRPr="00E22AFF">
      <w:rPr>
        <w:lang w:bidi="es-ES"/>
      </w:rPr>
      <w:t>Centro de Capacitación y Asistencia Técnica para la Vida Independiente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19A85" w14:textId="77777777" w:rsidR="00D14803" w:rsidRDefault="00D14803" w:rsidP="00254A09">
      <w:r>
        <w:separator/>
      </w:r>
    </w:p>
  </w:footnote>
  <w:footnote w:type="continuationSeparator" w:id="0">
    <w:p w14:paraId="643B070B" w14:textId="77777777" w:rsidR="00D14803" w:rsidRDefault="00D14803" w:rsidP="0025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835498273"/>
      <w:docPartObj>
        <w:docPartGallery w:val="Page Numbers (Top of Page)"/>
        <w:docPartUnique/>
      </w:docPartObj>
    </w:sdtPr>
    <w:sdtEndPr>
      <w:rPr>
        <w:noProof/>
        <w:sz w:val="21"/>
        <w:szCs w:val="21"/>
      </w:rPr>
    </w:sdtEndPr>
    <w:sdtContent>
      <w:p w14:paraId="746AE082" w14:textId="07F21CF1" w:rsidR="00AF72FC" w:rsidRPr="00AF72FC" w:rsidRDefault="00DC6D72" w:rsidP="00AF72FC">
        <w:pPr>
          <w:jc w:val="right"/>
          <w:rPr>
            <w:sz w:val="21"/>
            <w:szCs w:val="21"/>
          </w:rPr>
        </w:pPr>
        <w:r w:rsidRPr="00AF72FC">
          <w:rPr>
            <w:sz w:val="21"/>
            <w:szCs w:val="21"/>
            <w:lang w:bidi="es-ES"/>
          </w:rPr>
          <w:t xml:space="preserve">&gt;&gt; DIAPOSITIVA </w:t>
        </w:r>
        <w:r w:rsidRPr="00AF72FC">
          <w:rPr>
            <w:sz w:val="21"/>
            <w:szCs w:val="21"/>
            <w:lang w:bidi="es-ES"/>
          </w:rPr>
          <w:fldChar w:fldCharType="begin"/>
        </w:r>
        <w:r w:rsidRPr="00AF72FC">
          <w:rPr>
            <w:sz w:val="21"/>
            <w:szCs w:val="21"/>
            <w:lang w:bidi="es-ES"/>
          </w:rPr>
          <w:instrText xml:space="preserve"> PAGE   \* MERGEFORMAT </w:instrText>
        </w:r>
        <w:r w:rsidRPr="00AF72FC">
          <w:rPr>
            <w:sz w:val="21"/>
            <w:szCs w:val="21"/>
            <w:lang w:bidi="es-ES"/>
          </w:rPr>
          <w:fldChar w:fldCharType="separate"/>
        </w:r>
        <w:r w:rsidRPr="00AF72FC">
          <w:rPr>
            <w:noProof/>
            <w:sz w:val="21"/>
            <w:szCs w:val="21"/>
            <w:lang w:bidi="es-ES"/>
          </w:rPr>
          <w:t>2</w:t>
        </w:r>
        <w:r w:rsidRPr="00AF72FC">
          <w:rPr>
            <w:noProof/>
            <w:sz w:val="21"/>
            <w:szCs w:val="21"/>
            <w:lang w:bidi="es-ES"/>
          </w:rPr>
          <w:fldChar w:fldCharType="end"/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5648"/>
    <w:multiLevelType w:val="hybridMultilevel"/>
    <w:tmpl w:val="DA4E92EA"/>
    <w:lvl w:ilvl="0" w:tplc="912CC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FE300D3C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527F"/>
    <w:multiLevelType w:val="multilevel"/>
    <w:tmpl w:val="3A0E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772F2"/>
    <w:multiLevelType w:val="multilevel"/>
    <w:tmpl w:val="E2D8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16BE8"/>
    <w:multiLevelType w:val="hybridMultilevel"/>
    <w:tmpl w:val="D8D87C84"/>
    <w:lvl w:ilvl="0" w:tplc="F0161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3F466F"/>
    <w:multiLevelType w:val="multilevel"/>
    <w:tmpl w:val="BC7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943EC"/>
    <w:multiLevelType w:val="hybridMultilevel"/>
    <w:tmpl w:val="E9E0BF04"/>
    <w:lvl w:ilvl="0" w:tplc="79A6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A4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C8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8D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A8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E8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AA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88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4B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C49BD"/>
    <w:multiLevelType w:val="multilevel"/>
    <w:tmpl w:val="3A7C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8873EC"/>
    <w:multiLevelType w:val="hybridMultilevel"/>
    <w:tmpl w:val="C72438BE"/>
    <w:lvl w:ilvl="0" w:tplc="F01614B4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35787C7B"/>
    <w:multiLevelType w:val="multilevel"/>
    <w:tmpl w:val="BA5C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8B88B3"/>
    <w:multiLevelType w:val="hybridMultilevel"/>
    <w:tmpl w:val="DF72C6F2"/>
    <w:lvl w:ilvl="0" w:tplc="A7AE47D0">
      <w:start w:val="1"/>
      <w:numFmt w:val="decimal"/>
      <w:lvlText w:val="%1."/>
      <w:lvlJc w:val="left"/>
      <w:pPr>
        <w:ind w:left="720" w:hanging="360"/>
      </w:pPr>
    </w:lvl>
    <w:lvl w:ilvl="1" w:tplc="5A969D6C">
      <w:start w:val="1"/>
      <w:numFmt w:val="lowerLetter"/>
      <w:lvlText w:val="%2."/>
      <w:lvlJc w:val="left"/>
      <w:pPr>
        <w:ind w:left="1440" w:hanging="360"/>
      </w:pPr>
    </w:lvl>
    <w:lvl w:ilvl="2" w:tplc="9F5ACD48">
      <w:start w:val="1"/>
      <w:numFmt w:val="lowerRoman"/>
      <w:lvlText w:val="%3."/>
      <w:lvlJc w:val="right"/>
      <w:pPr>
        <w:ind w:left="2160" w:hanging="180"/>
      </w:pPr>
    </w:lvl>
    <w:lvl w:ilvl="3" w:tplc="D92A9A3C">
      <w:start w:val="1"/>
      <w:numFmt w:val="decimal"/>
      <w:lvlText w:val="%4."/>
      <w:lvlJc w:val="left"/>
      <w:pPr>
        <w:ind w:left="2880" w:hanging="360"/>
      </w:pPr>
    </w:lvl>
    <w:lvl w:ilvl="4" w:tplc="73F2A394">
      <w:start w:val="1"/>
      <w:numFmt w:val="lowerLetter"/>
      <w:lvlText w:val="%5."/>
      <w:lvlJc w:val="left"/>
      <w:pPr>
        <w:ind w:left="3600" w:hanging="360"/>
      </w:pPr>
    </w:lvl>
    <w:lvl w:ilvl="5" w:tplc="D0C0CE7E">
      <w:start w:val="1"/>
      <w:numFmt w:val="lowerRoman"/>
      <w:lvlText w:val="%6."/>
      <w:lvlJc w:val="right"/>
      <w:pPr>
        <w:ind w:left="4320" w:hanging="180"/>
      </w:pPr>
    </w:lvl>
    <w:lvl w:ilvl="6" w:tplc="6E4AAB3C">
      <w:start w:val="1"/>
      <w:numFmt w:val="decimal"/>
      <w:lvlText w:val="%7."/>
      <w:lvlJc w:val="left"/>
      <w:pPr>
        <w:ind w:left="5040" w:hanging="360"/>
      </w:pPr>
    </w:lvl>
    <w:lvl w:ilvl="7" w:tplc="CC4E681A">
      <w:start w:val="1"/>
      <w:numFmt w:val="lowerLetter"/>
      <w:lvlText w:val="%8."/>
      <w:lvlJc w:val="left"/>
      <w:pPr>
        <w:ind w:left="5760" w:hanging="360"/>
      </w:pPr>
    </w:lvl>
    <w:lvl w:ilvl="8" w:tplc="123C0F4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C0935"/>
    <w:multiLevelType w:val="hybridMultilevel"/>
    <w:tmpl w:val="BB682320"/>
    <w:lvl w:ilvl="0" w:tplc="F8AEB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21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064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D21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A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89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0D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84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C8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1FA5608"/>
    <w:multiLevelType w:val="multilevel"/>
    <w:tmpl w:val="9CE2300A"/>
    <w:lvl w:ilvl="0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1B6F63"/>
    <w:multiLevelType w:val="hybridMultilevel"/>
    <w:tmpl w:val="799E4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F716B6"/>
    <w:multiLevelType w:val="hybridMultilevel"/>
    <w:tmpl w:val="889EA95E"/>
    <w:lvl w:ilvl="0" w:tplc="F0161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6B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02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4F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0C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C2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2C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C7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84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34198"/>
    <w:multiLevelType w:val="hybridMultilevel"/>
    <w:tmpl w:val="6722D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81063"/>
    <w:multiLevelType w:val="multilevel"/>
    <w:tmpl w:val="8D78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394071"/>
    <w:multiLevelType w:val="hybridMultilevel"/>
    <w:tmpl w:val="A51CC332"/>
    <w:lvl w:ilvl="0" w:tplc="E3445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4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6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7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0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8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A781F"/>
    <w:multiLevelType w:val="multilevel"/>
    <w:tmpl w:val="3A4C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247203">
    <w:abstractNumId w:val="17"/>
  </w:num>
  <w:num w:numId="2" w16cid:durableId="933124336">
    <w:abstractNumId w:val="13"/>
  </w:num>
  <w:num w:numId="3" w16cid:durableId="1706447831">
    <w:abstractNumId w:val="9"/>
  </w:num>
  <w:num w:numId="4" w16cid:durableId="564998042">
    <w:abstractNumId w:val="15"/>
  </w:num>
  <w:num w:numId="5" w16cid:durableId="365716398">
    <w:abstractNumId w:val="0"/>
  </w:num>
  <w:num w:numId="6" w16cid:durableId="1218080731">
    <w:abstractNumId w:val="5"/>
  </w:num>
  <w:num w:numId="7" w16cid:durableId="833257184">
    <w:abstractNumId w:val="7"/>
  </w:num>
  <w:num w:numId="8" w16cid:durableId="798111364">
    <w:abstractNumId w:val="3"/>
  </w:num>
  <w:num w:numId="9" w16cid:durableId="742721237">
    <w:abstractNumId w:val="12"/>
  </w:num>
  <w:num w:numId="10" w16cid:durableId="175581561">
    <w:abstractNumId w:val="14"/>
  </w:num>
  <w:num w:numId="11" w16cid:durableId="1186603769">
    <w:abstractNumId w:val="1"/>
  </w:num>
  <w:num w:numId="12" w16cid:durableId="504321246">
    <w:abstractNumId w:val="10"/>
  </w:num>
  <w:num w:numId="13" w16cid:durableId="1075470218">
    <w:abstractNumId w:val="11"/>
  </w:num>
  <w:num w:numId="14" w16cid:durableId="519513241">
    <w:abstractNumId w:val="18"/>
  </w:num>
  <w:num w:numId="15" w16cid:durableId="2064019639">
    <w:abstractNumId w:val="6"/>
  </w:num>
  <w:num w:numId="16" w16cid:durableId="1534541275">
    <w:abstractNumId w:val="16"/>
  </w:num>
  <w:num w:numId="17" w16cid:durableId="1575974168">
    <w:abstractNumId w:val="8"/>
  </w:num>
  <w:num w:numId="18" w16cid:durableId="1295989291">
    <w:abstractNumId w:val="2"/>
  </w:num>
  <w:num w:numId="19" w16cid:durableId="43155668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6124"/>
    <w:rsid w:val="00026B92"/>
    <w:rsid w:val="00034983"/>
    <w:rsid w:val="00035667"/>
    <w:rsid w:val="00040884"/>
    <w:rsid w:val="000440E9"/>
    <w:rsid w:val="000470F7"/>
    <w:rsid w:val="00053670"/>
    <w:rsid w:val="000561F0"/>
    <w:rsid w:val="0005651B"/>
    <w:rsid w:val="00060936"/>
    <w:rsid w:val="000622D7"/>
    <w:rsid w:val="00070557"/>
    <w:rsid w:val="00080F44"/>
    <w:rsid w:val="0008692B"/>
    <w:rsid w:val="00090C8C"/>
    <w:rsid w:val="000B663D"/>
    <w:rsid w:val="000B7C7A"/>
    <w:rsid w:val="000C7ADC"/>
    <w:rsid w:val="000D1689"/>
    <w:rsid w:val="000E05A5"/>
    <w:rsid w:val="000E453E"/>
    <w:rsid w:val="00100646"/>
    <w:rsid w:val="00106EB9"/>
    <w:rsid w:val="001138B5"/>
    <w:rsid w:val="00115267"/>
    <w:rsid w:val="00116552"/>
    <w:rsid w:val="00121847"/>
    <w:rsid w:val="00122AF8"/>
    <w:rsid w:val="001279F4"/>
    <w:rsid w:val="00131B18"/>
    <w:rsid w:val="0014702B"/>
    <w:rsid w:val="00151ABD"/>
    <w:rsid w:val="00151E0A"/>
    <w:rsid w:val="001569CD"/>
    <w:rsid w:val="0017238E"/>
    <w:rsid w:val="0018399D"/>
    <w:rsid w:val="00185D98"/>
    <w:rsid w:val="0019553D"/>
    <w:rsid w:val="00196CFE"/>
    <w:rsid w:val="001A0CCF"/>
    <w:rsid w:val="001B1E9F"/>
    <w:rsid w:val="001B6228"/>
    <w:rsid w:val="001C2FC2"/>
    <w:rsid w:val="001C65E8"/>
    <w:rsid w:val="001D2798"/>
    <w:rsid w:val="001D2C00"/>
    <w:rsid w:val="001E3852"/>
    <w:rsid w:val="001E5D53"/>
    <w:rsid w:val="001E7E92"/>
    <w:rsid w:val="0020685A"/>
    <w:rsid w:val="0020774B"/>
    <w:rsid w:val="00207BE9"/>
    <w:rsid w:val="00221F12"/>
    <w:rsid w:val="00222ED4"/>
    <w:rsid w:val="00224DCD"/>
    <w:rsid w:val="0022512C"/>
    <w:rsid w:val="00230587"/>
    <w:rsid w:val="00232458"/>
    <w:rsid w:val="00233175"/>
    <w:rsid w:val="00251FD5"/>
    <w:rsid w:val="00254A09"/>
    <w:rsid w:val="002607E8"/>
    <w:rsid w:val="00266BD4"/>
    <w:rsid w:val="00272FF3"/>
    <w:rsid w:val="00274B61"/>
    <w:rsid w:val="0028778B"/>
    <w:rsid w:val="0029331A"/>
    <w:rsid w:val="00295408"/>
    <w:rsid w:val="002A1380"/>
    <w:rsid w:val="002A172A"/>
    <w:rsid w:val="002A2995"/>
    <w:rsid w:val="002A45F2"/>
    <w:rsid w:val="002A4F7D"/>
    <w:rsid w:val="002A5D61"/>
    <w:rsid w:val="002A62BC"/>
    <w:rsid w:val="002C569A"/>
    <w:rsid w:val="002D06B7"/>
    <w:rsid w:val="002D159C"/>
    <w:rsid w:val="002D362D"/>
    <w:rsid w:val="002E107F"/>
    <w:rsid w:val="002E65AB"/>
    <w:rsid w:val="002F06D3"/>
    <w:rsid w:val="002F3ACD"/>
    <w:rsid w:val="002F592A"/>
    <w:rsid w:val="003031C5"/>
    <w:rsid w:val="00306A85"/>
    <w:rsid w:val="003106B8"/>
    <w:rsid w:val="00320C04"/>
    <w:rsid w:val="00325D93"/>
    <w:rsid w:val="00326B70"/>
    <w:rsid w:val="00330CB7"/>
    <w:rsid w:val="00331DC5"/>
    <w:rsid w:val="003326B3"/>
    <w:rsid w:val="003327B6"/>
    <w:rsid w:val="0033453F"/>
    <w:rsid w:val="00346739"/>
    <w:rsid w:val="00362B28"/>
    <w:rsid w:val="003709A1"/>
    <w:rsid w:val="003810C9"/>
    <w:rsid w:val="0038452E"/>
    <w:rsid w:val="003867C1"/>
    <w:rsid w:val="00386EDF"/>
    <w:rsid w:val="003945D3"/>
    <w:rsid w:val="00396019"/>
    <w:rsid w:val="00396C04"/>
    <w:rsid w:val="00396D72"/>
    <w:rsid w:val="003B4918"/>
    <w:rsid w:val="003C3DE7"/>
    <w:rsid w:val="003D0EBC"/>
    <w:rsid w:val="003D4E4F"/>
    <w:rsid w:val="003E0AF1"/>
    <w:rsid w:val="003E3919"/>
    <w:rsid w:val="003E5052"/>
    <w:rsid w:val="003F12BD"/>
    <w:rsid w:val="003F16D9"/>
    <w:rsid w:val="003F2347"/>
    <w:rsid w:val="003F4C3D"/>
    <w:rsid w:val="00407D5B"/>
    <w:rsid w:val="00415D16"/>
    <w:rsid w:val="00423282"/>
    <w:rsid w:val="004266E1"/>
    <w:rsid w:val="00427E12"/>
    <w:rsid w:val="00430C84"/>
    <w:rsid w:val="00433A34"/>
    <w:rsid w:val="004348F0"/>
    <w:rsid w:val="004365F0"/>
    <w:rsid w:val="00436ABA"/>
    <w:rsid w:val="00436B62"/>
    <w:rsid w:val="004408E8"/>
    <w:rsid w:val="00445F82"/>
    <w:rsid w:val="004462C7"/>
    <w:rsid w:val="00447A88"/>
    <w:rsid w:val="00447DB8"/>
    <w:rsid w:val="00453981"/>
    <w:rsid w:val="004541C5"/>
    <w:rsid w:val="00455498"/>
    <w:rsid w:val="00456EA5"/>
    <w:rsid w:val="0046075D"/>
    <w:rsid w:val="00464EC1"/>
    <w:rsid w:val="00465598"/>
    <w:rsid w:val="004701DD"/>
    <w:rsid w:val="00470453"/>
    <w:rsid w:val="004707DC"/>
    <w:rsid w:val="00471E53"/>
    <w:rsid w:val="004760A7"/>
    <w:rsid w:val="00480D3A"/>
    <w:rsid w:val="0048149A"/>
    <w:rsid w:val="00487C4D"/>
    <w:rsid w:val="00492E1F"/>
    <w:rsid w:val="00497D84"/>
    <w:rsid w:val="004A4EE0"/>
    <w:rsid w:val="004B16CC"/>
    <w:rsid w:val="004B6747"/>
    <w:rsid w:val="004D2687"/>
    <w:rsid w:val="004E1BDC"/>
    <w:rsid w:val="004F127E"/>
    <w:rsid w:val="00506A3E"/>
    <w:rsid w:val="00510270"/>
    <w:rsid w:val="00524F6B"/>
    <w:rsid w:val="00525C40"/>
    <w:rsid w:val="00536C21"/>
    <w:rsid w:val="005410FF"/>
    <w:rsid w:val="00544DF4"/>
    <w:rsid w:val="005460C0"/>
    <w:rsid w:val="0055285A"/>
    <w:rsid w:val="00552C80"/>
    <w:rsid w:val="00567AC0"/>
    <w:rsid w:val="0057200F"/>
    <w:rsid w:val="0057B660"/>
    <w:rsid w:val="00590813"/>
    <w:rsid w:val="005964CB"/>
    <w:rsid w:val="005A60BC"/>
    <w:rsid w:val="005A6F6D"/>
    <w:rsid w:val="005B3D7E"/>
    <w:rsid w:val="005D00A6"/>
    <w:rsid w:val="005E1411"/>
    <w:rsid w:val="005E5A4B"/>
    <w:rsid w:val="005F093A"/>
    <w:rsid w:val="005F1121"/>
    <w:rsid w:val="005F221B"/>
    <w:rsid w:val="005F543A"/>
    <w:rsid w:val="006052CA"/>
    <w:rsid w:val="006110F4"/>
    <w:rsid w:val="00615A20"/>
    <w:rsid w:val="0062464F"/>
    <w:rsid w:val="00627540"/>
    <w:rsid w:val="00636BAE"/>
    <w:rsid w:val="006404E2"/>
    <w:rsid w:val="006466EA"/>
    <w:rsid w:val="006531C2"/>
    <w:rsid w:val="00654B3B"/>
    <w:rsid w:val="0065588E"/>
    <w:rsid w:val="0065608C"/>
    <w:rsid w:val="006646B9"/>
    <w:rsid w:val="00671D90"/>
    <w:rsid w:val="006754CF"/>
    <w:rsid w:val="00680735"/>
    <w:rsid w:val="00680E85"/>
    <w:rsid w:val="00690091"/>
    <w:rsid w:val="006905A4"/>
    <w:rsid w:val="00693D7F"/>
    <w:rsid w:val="00696515"/>
    <w:rsid w:val="006A4F12"/>
    <w:rsid w:val="006A55C4"/>
    <w:rsid w:val="006C64F8"/>
    <w:rsid w:val="006C6BFD"/>
    <w:rsid w:val="006D13CD"/>
    <w:rsid w:val="006D2BBA"/>
    <w:rsid w:val="006D2C55"/>
    <w:rsid w:val="006F06D2"/>
    <w:rsid w:val="006F1D85"/>
    <w:rsid w:val="0070118A"/>
    <w:rsid w:val="0070458B"/>
    <w:rsid w:val="00705B92"/>
    <w:rsid w:val="00713829"/>
    <w:rsid w:val="007150D2"/>
    <w:rsid w:val="007166DA"/>
    <w:rsid w:val="00717838"/>
    <w:rsid w:val="00723AE2"/>
    <w:rsid w:val="00730767"/>
    <w:rsid w:val="0073078F"/>
    <w:rsid w:val="0073155C"/>
    <w:rsid w:val="007446B3"/>
    <w:rsid w:val="007576A5"/>
    <w:rsid w:val="00757F7E"/>
    <w:rsid w:val="00762A6A"/>
    <w:rsid w:val="00764B04"/>
    <w:rsid w:val="00771F64"/>
    <w:rsid w:val="00774680"/>
    <w:rsid w:val="00780C66"/>
    <w:rsid w:val="00781525"/>
    <w:rsid w:val="007847E0"/>
    <w:rsid w:val="00784B50"/>
    <w:rsid w:val="007876FB"/>
    <w:rsid w:val="00790E01"/>
    <w:rsid w:val="00792050"/>
    <w:rsid w:val="007A08A6"/>
    <w:rsid w:val="007B164E"/>
    <w:rsid w:val="007B42EA"/>
    <w:rsid w:val="007C1BAC"/>
    <w:rsid w:val="007C3D63"/>
    <w:rsid w:val="007C5CE2"/>
    <w:rsid w:val="007D7892"/>
    <w:rsid w:val="007E02C8"/>
    <w:rsid w:val="007E10D0"/>
    <w:rsid w:val="007E2A0F"/>
    <w:rsid w:val="007E67B2"/>
    <w:rsid w:val="007F641C"/>
    <w:rsid w:val="008022A8"/>
    <w:rsid w:val="0080490A"/>
    <w:rsid w:val="00814868"/>
    <w:rsid w:val="00815EF9"/>
    <w:rsid w:val="00823CEC"/>
    <w:rsid w:val="0082504A"/>
    <w:rsid w:val="00831F1F"/>
    <w:rsid w:val="00843089"/>
    <w:rsid w:val="008508FB"/>
    <w:rsid w:val="00877557"/>
    <w:rsid w:val="00887AB1"/>
    <w:rsid w:val="00895117"/>
    <w:rsid w:val="008971E6"/>
    <w:rsid w:val="008A24ED"/>
    <w:rsid w:val="008A8E0E"/>
    <w:rsid w:val="008B4E63"/>
    <w:rsid w:val="008B5CEF"/>
    <w:rsid w:val="008C3696"/>
    <w:rsid w:val="008C6994"/>
    <w:rsid w:val="008D150C"/>
    <w:rsid w:val="008D5E16"/>
    <w:rsid w:val="008D5F2F"/>
    <w:rsid w:val="008D6569"/>
    <w:rsid w:val="008F03C2"/>
    <w:rsid w:val="008F1120"/>
    <w:rsid w:val="008F1D84"/>
    <w:rsid w:val="008F5E8D"/>
    <w:rsid w:val="008F5F95"/>
    <w:rsid w:val="00901ABF"/>
    <w:rsid w:val="00903132"/>
    <w:rsid w:val="009100DF"/>
    <w:rsid w:val="0091547C"/>
    <w:rsid w:val="00917CEA"/>
    <w:rsid w:val="00919FC1"/>
    <w:rsid w:val="009208D1"/>
    <w:rsid w:val="00923B19"/>
    <w:rsid w:val="00924005"/>
    <w:rsid w:val="00926598"/>
    <w:rsid w:val="0092721E"/>
    <w:rsid w:val="00931977"/>
    <w:rsid w:val="00935399"/>
    <w:rsid w:val="009404E0"/>
    <w:rsid w:val="00941A47"/>
    <w:rsid w:val="00942FBE"/>
    <w:rsid w:val="0096135F"/>
    <w:rsid w:val="009675F3"/>
    <w:rsid w:val="009723EA"/>
    <w:rsid w:val="00980297"/>
    <w:rsid w:val="00983C94"/>
    <w:rsid w:val="009920E5"/>
    <w:rsid w:val="00997A65"/>
    <w:rsid w:val="009A2176"/>
    <w:rsid w:val="009A3193"/>
    <w:rsid w:val="009A75DD"/>
    <w:rsid w:val="009B0819"/>
    <w:rsid w:val="009B0E6B"/>
    <w:rsid w:val="009B25F4"/>
    <w:rsid w:val="009B2B06"/>
    <w:rsid w:val="009B4CA9"/>
    <w:rsid w:val="009C02D7"/>
    <w:rsid w:val="009C5486"/>
    <w:rsid w:val="009C626F"/>
    <w:rsid w:val="009D0C48"/>
    <w:rsid w:val="009D2735"/>
    <w:rsid w:val="009E4FFF"/>
    <w:rsid w:val="009E7458"/>
    <w:rsid w:val="009F0DE3"/>
    <w:rsid w:val="00A073AC"/>
    <w:rsid w:val="00A14C6C"/>
    <w:rsid w:val="00A22448"/>
    <w:rsid w:val="00A24987"/>
    <w:rsid w:val="00A26AC1"/>
    <w:rsid w:val="00A31A4E"/>
    <w:rsid w:val="00A46456"/>
    <w:rsid w:val="00A54BE7"/>
    <w:rsid w:val="00A61E3B"/>
    <w:rsid w:val="00A6690B"/>
    <w:rsid w:val="00A7044C"/>
    <w:rsid w:val="00A8634D"/>
    <w:rsid w:val="00A91DC1"/>
    <w:rsid w:val="00AB4544"/>
    <w:rsid w:val="00AD10C6"/>
    <w:rsid w:val="00AD50E4"/>
    <w:rsid w:val="00AEC903"/>
    <w:rsid w:val="00AF2CF3"/>
    <w:rsid w:val="00AF3F9A"/>
    <w:rsid w:val="00AF72FC"/>
    <w:rsid w:val="00B0328A"/>
    <w:rsid w:val="00B20F4C"/>
    <w:rsid w:val="00B2BED8"/>
    <w:rsid w:val="00B3657D"/>
    <w:rsid w:val="00B3776C"/>
    <w:rsid w:val="00B554B7"/>
    <w:rsid w:val="00B60579"/>
    <w:rsid w:val="00B65593"/>
    <w:rsid w:val="00B72526"/>
    <w:rsid w:val="00B7437E"/>
    <w:rsid w:val="00B75D53"/>
    <w:rsid w:val="00B85DBC"/>
    <w:rsid w:val="00B87C92"/>
    <w:rsid w:val="00B91CCF"/>
    <w:rsid w:val="00B92523"/>
    <w:rsid w:val="00BC15C2"/>
    <w:rsid w:val="00BC2228"/>
    <w:rsid w:val="00BC5A25"/>
    <w:rsid w:val="00BC5A91"/>
    <w:rsid w:val="00BD22F8"/>
    <w:rsid w:val="00BD42C6"/>
    <w:rsid w:val="00BE45C0"/>
    <w:rsid w:val="00BF2A9C"/>
    <w:rsid w:val="00BF3B05"/>
    <w:rsid w:val="00BF73FF"/>
    <w:rsid w:val="00C04C9E"/>
    <w:rsid w:val="00C05172"/>
    <w:rsid w:val="00C17D9C"/>
    <w:rsid w:val="00C220D0"/>
    <w:rsid w:val="00C3AA51"/>
    <w:rsid w:val="00C64F3B"/>
    <w:rsid w:val="00C73DB5"/>
    <w:rsid w:val="00C77DC8"/>
    <w:rsid w:val="00C94F2B"/>
    <w:rsid w:val="00C974F8"/>
    <w:rsid w:val="00CC3516"/>
    <w:rsid w:val="00CC3E15"/>
    <w:rsid w:val="00CE495D"/>
    <w:rsid w:val="00CE65E3"/>
    <w:rsid w:val="00CF0623"/>
    <w:rsid w:val="00CF13D7"/>
    <w:rsid w:val="00CF5A1A"/>
    <w:rsid w:val="00D01A5E"/>
    <w:rsid w:val="00D03B06"/>
    <w:rsid w:val="00D1286D"/>
    <w:rsid w:val="00D14803"/>
    <w:rsid w:val="00D3066A"/>
    <w:rsid w:val="00D36E4C"/>
    <w:rsid w:val="00D57D10"/>
    <w:rsid w:val="00D70038"/>
    <w:rsid w:val="00D70870"/>
    <w:rsid w:val="00D74026"/>
    <w:rsid w:val="00D7455E"/>
    <w:rsid w:val="00D8651F"/>
    <w:rsid w:val="00D947E5"/>
    <w:rsid w:val="00D9600F"/>
    <w:rsid w:val="00DA52AA"/>
    <w:rsid w:val="00DA5C92"/>
    <w:rsid w:val="00DB25D9"/>
    <w:rsid w:val="00DB3CAD"/>
    <w:rsid w:val="00DB5AFE"/>
    <w:rsid w:val="00DB66EA"/>
    <w:rsid w:val="00DC5637"/>
    <w:rsid w:val="00DC6D72"/>
    <w:rsid w:val="00DD6DAC"/>
    <w:rsid w:val="00DE0C66"/>
    <w:rsid w:val="00DE160C"/>
    <w:rsid w:val="00DE1EF5"/>
    <w:rsid w:val="00DE4249"/>
    <w:rsid w:val="00E02DD3"/>
    <w:rsid w:val="00E0E547"/>
    <w:rsid w:val="00E15AAA"/>
    <w:rsid w:val="00E16251"/>
    <w:rsid w:val="00E22AFF"/>
    <w:rsid w:val="00E25771"/>
    <w:rsid w:val="00E33281"/>
    <w:rsid w:val="00E3458E"/>
    <w:rsid w:val="00E35BC3"/>
    <w:rsid w:val="00E36D6B"/>
    <w:rsid w:val="00E40D66"/>
    <w:rsid w:val="00E42512"/>
    <w:rsid w:val="00E43B7F"/>
    <w:rsid w:val="00E56AB3"/>
    <w:rsid w:val="00E60A05"/>
    <w:rsid w:val="00E61825"/>
    <w:rsid w:val="00E852BA"/>
    <w:rsid w:val="00EA4B90"/>
    <w:rsid w:val="00EB4F1E"/>
    <w:rsid w:val="00EB5986"/>
    <w:rsid w:val="00EC5954"/>
    <w:rsid w:val="00ED3FEF"/>
    <w:rsid w:val="00ED4B12"/>
    <w:rsid w:val="00EDB39F"/>
    <w:rsid w:val="00EE0058"/>
    <w:rsid w:val="00EE3E6E"/>
    <w:rsid w:val="00EF2AF9"/>
    <w:rsid w:val="00EF46E7"/>
    <w:rsid w:val="00F03B5F"/>
    <w:rsid w:val="00F04671"/>
    <w:rsid w:val="00F0736E"/>
    <w:rsid w:val="00F0786C"/>
    <w:rsid w:val="00F12866"/>
    <w:rsid w:val="00F14A0B"/>
    <w:rsid w:val="00F45A77"/>
    <w:rsid w:val="00F53652"/>
    <w:rsid w:val="00F8073F"/>
    <w:rsid w:val="00F80FE6"/>
    <w:rsid w:val="00F90455"/>
    <w:rsid w:val="00F953C2"/>
    <w:rsid w:val="00FA1A86"/>
    <w:rsid w:val="00FC17DD"/>
    <w:rsid w:val="00FC3AD2"/>
    <w:rsid w:val="00FC4BCF"/>
    <w:rsid w:val="00FD0FE2"/>
    <w:rsid w:val="00FD18C1"/>
    <w:rsid w:val="00FD5F03"/>
    <w:rsid w:val="00FF1D31"/>
    <w:rsid w:val="00FF458A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AE64CB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4867D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694B67"/>
    <w:rsid w:val="0969A8EE"/>
    <w:rsid w:val="097145C2"/>
    <w:rsid w:val="0971A2A7"/>
    <w:rsid w:val="0976350E"/>
    <w:rsid w:val="097C00A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48E8EF"/>
    <w:rsid w:val="0A506B4D"/>
    <w:rsid w:val="0A5F8391"/>
    <w:rsid w:val="0A83C5D0"/>
    <w:rsid w:val="0A901B51"/>
    <w:rsid w:val="0A9D7211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F2C96B"/>
    <w:rsid w:val="10040F8E"/>
    <w:rsid w:val="10157811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C357C"/>
    <w:rsid w:val="1283B0EA"/>
    <w:rsid w:val="128DC127"/>
    <w:rsid w:val="12964509"/>
    <w:rsid w:val="1296BC0C"/>
    <w:rsid w:val="12AB8D22"/>
    <w:rsid w:val="12C0DA65"/>
    <w:rsid w:val="12C145B0"/>
    <w:rsid w:val="12FB642C"/>
    <w:rsid w:val="130BCCA5"/>
    <w:rsid w:val="1315CD06"/>
    <w:rsid w:val="1318096D"/>
    <w:rsid w:val="1319BB84"/>
    <w:rsid w:val="131C1FDE"/>
    <w:rsid w:val="132C09D7"/>
    <w:rsid w:val="1338483D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6DF8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1E3F2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CA2CDC"/>
    <w:rsid w:val="19EA3AC4"/>
    <w:rsid w:val="19EA7831"/>
    <w:rsid w:val="19F3B268"/>
    <w:rsid w:val="1A0F87A1"/>
    <w:rsid w:val="1A1879D8"/>
    <w:rsid w:val="1A1FF67E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B2A52"/>
    <w:rsid w:val="1B342EAF"/>
    <w:rsid w:val="1B379EC9"/>
    <w:rsid w:val="1B4B2B22"/>
    <w:rsid w:val="1B4FC97D"/>
    <w:rsid w:val="1B59DDC3"/>
    <w:rsid w:val="1B68BC17"/>
    <w:rsid w:val="1B6BA2F6"/>
    <w:rsid w:val="1B79B117"/>
    <w:rsid w:val="1B80A0A3"/>
    <w:rsid w:val="1B8A82B6"/>
    <w:rsid w:val="1B9B9782"/>
    <w:rsid w:val="1B9D2B01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49B1B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EDFF5"/>
    <w:rsid w:val="2141B399"/>
    <w:rsid w:val="2153CB90"/>
    <w:rsid w:val="217BA952"/>
    <w:rsid w:val="21A6FD18"/>
    <w:rsid w:val="21B02ACD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8EFD3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53A4"/>
    <w:rsid w:val="24557A35"/>
    <w:rsid w:val="246064A3"/>
    <w:rsid w:val="24714E28"/>
    <w:rsid w:val="248AEBA7"/>
    <w:rsid w:val="24912DAA"/>
    <w:rsid w:val="249EF31D"/>
    <w:rsid w:val="24A1B348"/>
    <w:rsid w:val="24A4983C"/>
    <w:rsid w:val="24AAB92B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B3EF9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2FBE75"/>
    <w:rsid w:val="2732B362"/>
    <w:rsid w:val="273C0122"/>
    <w:rsid w:val="273D2CE1"/>
    <w:rsid w:val="274C1B0D"/>
    <w:rsid w:val="274E6054"/>
    <w:rsid w:val="27573ED1"/>
    <w:rsid w:val="275C2441"/>
    <w:rsid w:val="27644067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216B72"/>
    <w:rsid w:val="282B7E62"/>
    <w:rsid w:val="2855F2B6"/>
    <w:rsid w:val="28573715"/>
    <w:rsid w:val="28621113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7CBFB"/>
    <w:rsid w:val="2981FF02"/>
    <w:rsid w:val="29827AE5"/>
    <w:rsid w:val="299D5691"/>
    <w:rsid w:val="29A01E35"/>
    <w:rsid w:val="29B858F1"/>
    <w:rsid w:val="29D093DC"/>
    <w:rsid w:val="29DB7C2B"/>
    <w:rsid w:val="29DC610E"/>
    <w:rsid w:val="29E81276"/>
    <w:rsid w:val="29F6072B"/>
    <w:rsid w:val="29FBB1D3"/>
    <w:rsid w:val="2A0D90B1"/>
    <w:rsid w:val="2A130859"/>
    <w:rsid w:val="2A1338B7"/>
    <w:rsid w:val="2A1802D4"/>
    <w:rsid w:val="2A1A8A6D"/>
    <w:rsid w:val="2A205D44"/>
    <w:rsid w:val="2A2C3C13"/>
    <w:rsid w:val="2A4D27EB"/>
    <w:rsid w:val="2A4DBD15"/>
    <w:rsid w:val="2A4EBFFB"/>
    <w:rsid w:val="2A56720B"/>
    <w:rsid w:val="2A56D777"/>
    <w:rsid w:val="2A571EB7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E00A5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AA1A64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CB2CFA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40425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2A406"/>
    <w:rsid w:val="359313F6"/>
    <w:rsid w:val="359B4F3F"/>
    <w:rsid w:val="35A30FF8"/>
    <w:rsid w:val="35A84427"/>
    <w:rsid w:val="35B10321"/>
    <w:rsid w:val="35BEF727"/>
    <w:rsid w:val="35C34A0D"/>
    <w:rsid w:val="35E0B322"/>
    <w:rsid w:val="35E74745"/>
    <w:rsid w:val="35E77A6C"/>
    <w:rsid w:val="35EB099B"/>
    <w:rsid w:val="35F587CC"/>
    <w:rsid w:val="35F743BC"/>
    <w:rsid w:val="35FA7B47"/>
    <w:rsid w:val="360BFF0C"/>
    <w:rsid w:val="360DB171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A8576"/>
    <w:rsid w:val="36EB57A2"/>
    <w:rsid w:val="36EEDF15"/>
    <w:rsid w:val="3703F1C8"/>
    <w:rsid w:val="3706DEE8"/>
    <w:rsid w:val="3707786D"/>
    <w:rsid w:val="371C3B91"/>
    <w:rsid w:val="3732B194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BD2768"/>
    <w:rsid w:val="37C74D76"/>
    <w:rsid w:val="37D1D5C2"/>
    <w:rsid w:val="37DD0C82"/>
    <w:rsid w:val="37E0DD56"/>
    <w:rsid w:val="37E96512"/>
    <w:rsid w:val="37F1A142"/>
    <w:rsid w:val="3803175C"/>
    <w:rsid w:val="38060D86"/>
    <w:rsid w:val="380A17FD"/>
    <w:rsid w:val="380A9DBB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81D99"/>
    <w:rsid w:val="3D3B2974"/>
    <w:rsid w:val="3D3CB40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30265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FC7AA0"/>
    <w:rsid w:val="41FE543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AA5C34"/>
    <w:rsid w:val="42B16017"/>
    <w:rsid w:val="42B86954"/>
    <w:rsid w:val="42B9A192"/>
    <w:rsid w:val="42C8F861"/>
    <w:rsid w:val="42DF90C3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8E1A1C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0E486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F65E8F"/>
    <w:rsid w:val="470926B1"/>
    <w:rsid w:val="47096677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C4AD88"/>
    <w:rsid w:val="48DD0EA0"/>
    <w:rsid w:val="48E953BF"/>
    <w:rsid w:val="48F5F457"/>
    <w:rsid w:val="48F894DB"/>
    <w:rsid w:val="48FC571C"/>
    <w:rsid w:val="48FFEFC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39BA8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3F5029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4A15A0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7D0C5"/>
    <w:rsid w:val="55DCBBD6"/>
    <w:rsid w:val="55EF377D"/>
    <w:rsid w:val="55F118D1"/>
    <w:rsid w:val="55FA7694"/>
    <w:rsid w:val="56192A10"/>
    <w:rsid w:val="56207DA1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E4C5AF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675066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2D80A"/>
    <w:rsid w:val="5DE1E0DA"/>
    <w:rsid w:val="5DF4820E"/>
    <w:rsid w:val="5DF5431C"/>
    <w:rsid w:val="5DF9140D"/>
    <w:rsid w:val="5DFBB0D5"/>
    <w:rsid w:val="5DFBDF29"/>
    <w:rsid w:val="5DFE2D50"/>
    <w:rsid w:val="5DFF0C52"/>
    <w:rsid w:val="5E10F734"/>
    <w:rsid w:val="5E13DF9C"/>
    <w:rsid w:val="5E2D37FB"/>
    <w:rsid w:val="5E35A416"/>
    <w:rsid w:val="5E35E158"/>
    <w:rsid w:val="5E35EB87"/>
    <w:rsid w:val="5E41F934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0731F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20F88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5EB2285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9C6A3C"/>
    <w:rsid w:val="69AC9A35"/>
    <w:rsid w:val="69D211B2"/>
    <w:rsid w:val="69E19E8C"/>
    <w:rsid w:val="69EAC608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F0E2EC"/>
    <w:rsid w:val="6BF16278"/>
    <w:rsid w:val="6BF1CBD3"/>
    <w:rsid w:val="6BF2ECDE"/>
    <w:rsid w:val="6C126A3B"/>
    <w:rsid w:val="6C19FD32"/>
    <w:rsid w:val="6C1AC026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A66FD"/>
    <w:rsid w:val="6C82A4BF"/>
    <w:rsid w:val="6C88C53B"/>
    <w:rsid w:val="6CA1D16D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8EDFAA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6FFBC345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94D1C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7E76F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BF6E5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C35076"/>
    <w:rsid w:val="77E5DD2B"/>
    <w:rsid w:val="7805F6DF"/>
    <w:rsid w:val="7823DAF2"/>
    <w:rsid w:val="782B640B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217EE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8901D"/>
    <w:rsid w:val="7A0A4CAA"/>
    <w:rsid w:val="7A0EF8AB"/>
    <w:rsid w:val="7A1F59AD"/>
    <w:rsid w:val="7A2E9298"/>
    <w:rsid w:val="7A665154"/>
    <w:rsid w:val="7A66AAD1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53D4E4"/>
    <w:rsid w:val="7E575CCC"/>
    <w:rsid w:val="7E5D7A56"/>
    <w:rsid w:val="7E62CF5D"/>
    <w:rsid w:val="7E786639"/>
    <w:rsid w:val="7E847D3F"/>
    <w:rsid w:val="7E910973"/>
    <w:rsid w:val="7ECE21C2"/>
    <w:rsid w:val="7ED2C54F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68483"/>
    <w:rsid w:val="7F846561"/>
    <w:rsid w:val="7F9E29C4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1EBE1672-09F9-4384-864A-B8ACF2A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A09"/>
    <w:pPr>
      <w:ind w:left="-90"/>
    </w:pPr>
    <w:rPr>
      <w:rFonts w:ascii="Montserrat" w:hAnsi="Montserrat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2FC"/>
    <w:pPr>
      <w:keepNext/>
      <w:keepLines/>
      <w:spacing w:after="80"/>
      <w:outlineLvl w:val="0"/>
    </w:pPr>
    <w:rPr>
      <w:rFonts w:eastAsiaTheme="majorEastAsia" w:cstheme="majorBidi"/>
      <w:b/>
      <w:bCs/>
      <w:color w:val="70003E"/>
      <w:sz w:val="28"/>
      <w:szCs w:val="28"/>
      <w:lang w:bidi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BF69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BF69556"/>
    <w:pPr>
      <w:keepNext/>
      <w:keepLines/>
      <w:spacing w:before="160" w:after="8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BF69556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BF69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BF69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BF69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BF6955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BF6955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2FC"/>
    <w:rPr>
      <w:rFonts w:ascii="Montserrat" w:eastAsiaTheme="majorEastAsia" w:hAnsi="Montserrat" w:cstheme="majorBidi"/>
      <w:b/>
      <w:bCs/>
      <w:color w:val="70003E"/>
      <w:sz w:val="28"/>
      <w:szCs w:val="28"/>
      <w:lang w:bidi="es-ES"/>
    </w:rPr>
  </w:style>
  <w:style w:type="character" w:customStyle="1" w:styleId="Heading2Char">
    <w:name w:val="Heading 2 Char"/>
    <w:basedOn w:val="DefaultParagraphFont"/>
    <w:link w:val="Heading2"/>
    <w:uiPriority w:val="9"/>
    <w:rsid w:val="005A60B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D5E16"/>
    <w:rPr>
      <w:rFonts w:ascii="Montserrat" w:eastAsiaTheme="majorEastAsia" w:hAnsi="Montserrat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D5E16"/>
    <w:pPr>
      <w:spacing w:after="360"/>
      <w:jc w:val="center"/>
    </w:pPr>
    <w:rPr>
      <w:rFonts w:eastAsiaTheme="majorEastAsia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7BF69556"/>
    <w:rPr>
      <w:rFonts w:eastAsiaTheme="majorEastAsia"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7BF69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BF69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7BF6955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22AFF"/>
    <w:pPr>
      <w:tabs>
        <w:tab w:val="center" w:pos="4680"/>
        <w:tab w:val="right" w:pos="9360"/>
      </w:tabs>
      <w:spacing w:after="0" w:line="240" w:lineRule="auto"/>
    </w:pPr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7BF6955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22AFF"/>
    <w:rPr>
      <w:rFonts w:ascii="Montserrat" w:hAnsi="Montserrat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7BF69556"/>
    <w:pPr>
      <w:spacing w:after="0"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rsid w:val="005A60BC"/>
    <w:rPr>
      <w:rFonts w:ascii="Aptos" w:eastAsia="Aptos" w:hAnsi="Aptos" w:cs="Aptos"/>
      <w:sz w:val="28"/>
    </w:rPr>
  </w:style>
  <w:style w:type="paragraph" w:customStyle="1" w:styleId="BulletedList">
    <w:name w:val="Bulleted List"/>
    <w:basedOn w:val="Normal"/>
    <w:link w:val="BulletedListChar"/>
    <w:uiPriority w:val="1"/>
    <w:qFormat/>
    <w:rsid w:val="00AF72FC"/>
    <w:pPr>
      <w:numPr>
        <w:numId w:val="13"/>
      </w:numPr>
      <w:tabs>
        <w:tab w:val="clear" w:pos="720"/>
        <w:tab w:val="num" w:pos="426"/>
      </w:tabs>
      <w:spacing w:line="276" w:lineRule="auto"/>
      <w:ind w:left="270" w:hanging="270"/>
    </w:pPr>
    <w:rPr>
      <w:sz w:val="22"/>
      <w:szCs w:val="22"/>
      <w:lang w:bidi="es-E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00AF72FC"/>
    <w:rPr>
      <w:rFonts w:ascii="Montserrat" w:hAnsi="Montserrat"/>
      <w:sz w:val="22"/>
      <w:szCs w:val="22"/>
      <w:lang w:bidi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7BF69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00254A09"/>
  </w:style>
  <w:style w:type="paragraph" w:styleId="NormalWeb">
    <w:name w:val="Normal (Web)"/>
    <w:basedOn w:val="Normal"/>
    <w:uiPriority w:val="99"/>
    <w:semiHidden/>
    <w:unhideWhenUsed/>
    <w:rsid w:val="7BF695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22512C"/>
    <w:pPr>
      <w:numPr>
        <w:ilvl w:val="1"/>
        <w:numId w:val="5"/>
      </w:numPr>
      <w:spacing w:line="276" w:lineRule="auto"/>
      <w:ind w:left="1260"/>
    </w:pPr>
  </w:style>
  <w:style w:type="character" w:customStyle="1" w:styleId="2ndLevelBulletChar">
    <w:name w:val="2nd Level Bullet Char"/>
    <w:basedOn w:val="DefaultParagraphFont"/>
    <w:link w:val="2ndLevelBullet"/>
    <w:uiPriority w:val="1"/>
    <w:rsid w:val="0022512C"/>
    <w:rPr>
      <w:sz w:val="26"/>
      <w:szCs w:val="26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7BF69556"/>
    <w:pPr>
      <w:numPr>
        <w:ilvl w:val="2"/>
        <w:numId w:val="5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cfr.gov/current/title-45/subtitle-B/chapter-XIII/subchapter-C/part-1329/subpart-B/section-1329.12" TargetMode="External"/><Relationship Id="rId18" Type="http://schemas.openxmlformats.org/officeDocument/2006/relationships/hyperlink" Target="mailto:kmackey@azdes.gov" TargetMode="External"/><Relationship Id="rId26" Type="http://schemas.openxmlformats.org/officeDocument/2006/relationships/image" Target="media/image2.png"/><Relationship Id="rId21" Type="http://schemas.openxmlformats.org/officeDocument/2006/relationships/hyperlink" Target="https://www.ilru.org/training/dse-silc-roles-and-responsibilities-and-regulations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cfr.gov/current/title-45/subtitle-B/chapter-XIII/subchapter-C/part-1329/subpart-B/section-1329.14" TargetMode="External"/><Relationship Id="rId17" Type="http://schemas.openxmlformats.org/officeDocument/2006/relationships/hyperlink" Target="mailto:mellie@azsilc.org" TargetMode="External"/><Relationship Id="rId25" Type="http://schemas.openxmlformats.org/officeDocument/2006/relationships/hyperlink" Target="https://umt.co1.qualtrics.com/jfe/form/SV_5hHfWHfb3Eaxp5k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lru.org/sites/default/files/publications/SILC%20Indicators%20and%20SILC%20and%20DSE%20Assurances%201.2018.pdf" TargetMode="External"/><Relationship Id="rId20" Type="http://schemas.openxmlformats.org/officeDocument/2006/relationships/hyperlink" Target="https://www.ilru.org/sites/default/files/SILC%20Guidebook.pdf" TargetMode="Externa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lru.org/training/creating-effective-dse-silc-and-cil-relationship-15-hours" TargetMode="External"/><Relationship Id="rId32" Type="http://schemas.openxmlformats.org/officeDocument/2006/relationships/header" Target="header1.xml"/><Relationship Id="rId37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ecfr.gov/current/title-45/subtitle-B/chapter-XIII/subchapter-C/part-1329/subpart-B/section-1329.17" TargetMode="External"/><Relationship Id="rId23" Type="http://schemas.openxmlformats.org/officeDocument/2006/relationships/hyperlink" Target="https://www.ilru.org/training/silcs-and-importance-autonomy-power-struggles-and-relationships-with-dse-and-il-network-15" TargetMode="External"/><Relationship Id="rId28" Type="http://schemas.openxmlformats.org/officeDocument/2006/relationships/image" Target="media/image3.png"/><Relationship Id="rId36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yperlink" Target="https://www.ilru.org/sites/default/files/publications/SILC%20Indicators%20and%20SILC%20and%20DSE%20Assurances%201.2018.pdf" TargetMode="External"/><Relationship Id="rId31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cfr.gov/current/title-45/subtitle-B/chapter-XIII/subchapter-C/part-1329/subpart-B/section-1329.15" TargetMode="External"/><Relationship Id="rId22" Type="http://schemas.openxmlformats.org/officeDocument/2006/relationships/hyperlink" Target="https://www.ilru.org/training/dse-silc-roles-and-responsibilities-and-regulations-part-2" TargetMode="External"/><Relationship Id="rId27" Type="http://schemas.openxmlformats.org/officeDocument/2006/relationships/hyperlink" Target="https://tinyurl.com/ILTTACenter" TargetMode="External"/><Relationship Id="rId30" Type="http://schemas.openxmlformats.org/officeDocument/2006/relationships/image" Target="media/image5.png"/><Relationship Id="rId35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documenttasks/documenttasks1.xml><?xml version="1.0" encoding="utf-8"?>
<t:Tasks xmlns:t="http://schemas.microsoft.com/office/tasks/2019/documenttasks" xmlns:oel="http://schemas.microsoft.com/office/2019/extlst"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9EE467E6174C92BA1BE0E7469A8D" ma:contentTypeVersion="3" ma:contentTypeDescription="Create a new document." ma:contentTypeScope="" ma:versionID="eea01bdabf112753a4261015214d915c">
  <xsd:schema xmlns:xsd="http://www.w3.org/2001/XMLSchema" xmlns:xs="http://www.w3.org/2001/XMLSchema" xmlns:p="http://schemas.microsoft.com/office/2006/metadata/properties" xmlns:ns2="d27c14e7-776e-4354-a3f9-9184a825ecac" targetNamespace="http://schemas.microsoft.com/office/2006/metadata/properties" ma:root="true" ma:fieldsID="a431e2e9593c91367947ff269794ba4a" ns2:_="">
    <xsd:import namespace="d27c14e7-776e-4354-a3f9-9184a825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14e7-776e-4354-a3f9-9184a825e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37860-7DEC-4A06-809D-04D2252CD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c14e7-776e-4354-a3f9-9184a825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1684</Words>
  <Characters>9601</Characters>
  <Application>Microsoft Office Word</Application>
  <DocSecurity>0</DocSecurity>
  <Lines>80</Lines>
  <Paragraphs>22</Paragraphs>
  <ScaleCrop>false</ScaleCrop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3</cp:revision>
  <dcterms:created xsi:type="dcterms:W3CDTF">2025-09-02T17:03:00Z</dcterms:created>
  <dcterms:modified xsi:type="dcterms:W3CDTF">2025-09-02T17:09:00Z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0x010100AD469EE467E6174C92BA1BE0E7469A8D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