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EFAB" w14:textId="7165C427" w:rsidR="00920B5E" w:rsidRPr="00E33E53" w:rsidRDefault="004A241C" w:rsidP="00E33E53">
      <w:pPr>
        <w:pStyle w:val="Heading1"/>
        <w:spacing w:line="240" w:lineRule="auto"/>
        <w:jc w:val="center"/>
        <w:rPr>
          <w:rFonts w:ascii="Arial" w:hAnsi="Arial" w:cs="Arial"/>
          <w:b/>
          <w:bCs/>
          <w:color w:val="4472C4" w:themeColor="accent1"/>
          <w:sz w:val="40"/>
          <w:szCs w:val="40"/>
        </w:rPr>
      </w:pPr>
      <w:r>
        <w:rPr>
          <w:rFonts w:ascii="Arial" w:hAnsi="Arial" w:cs="Arial"/>
          <w:b/>
          <w:bCs/>
          <w:color w:val="4472C4" w:themeColor="accent1"/>
          <w:sz w:val="40"/>
          <w:szCs w:val="40"/>
        </w:rPr>
        <w:t xml:space="preserve">The </w:t>
      </w:r>
      <w:r w:rsidR="002B2FC4" w:rsidRPr="00E33E53">
        <w:rPr>
          <w:rFonts w:ascii="Arial" w:hAnsi="Arial" w:cs="Arial"/>
          <w:b/>
          <w:bCs/>
          <w:color w:val="4472C4" w:themeColor="accent1"/>
          <w:sz w:val="40"/>
          <w:szCs w:val="40"/>
        </w:rPr>
        <w:t xml:space="preserve">Baseline </w:t>
      </w:r>
      <w:r>
        <w:rPr>
          <w:rFonts w:ascii="Arial" w:hAnsi="Arial" w:cs="Arial"/>
          <w:b/>
          <w:bCs/>
          <w:color w:val="4472C4" w:themeColor="accent1"/>
          <w:sz w:val="40"/>
          <w:szCs w:val="40"/>
        </w:rPr>
        <w:t>Review: A Component of IL COMP</w:t>
      </w:r>
    </w:p>
    <w:p w14:paraId="00605EE0" w14:textId="1BB8A8DD" w:rsidR="002B0BD7" w:rsidRPr="00E33E53" w:rsidRDefault="002B0BD7" w:rsidP="002B0BD7">
      <w:pPr>
        <w:pStyle w:val="Heading2"/>
        <w:spacing w:before="240" w:after="120" w:line="240" w:lineRule="auto"/>
        <w:rPr>
          <w:rFonts w:ascii="Arial" w:hAnsi="Arial" w:cs="Arial"/>
          <w:b/>
          <w:bCs/>
          <w:color w:val="4472C4" w:themeColor="accent1"/>
          <w:sz w:val="24"/>
          <w:szCs w:val="24"/>
        </w:rPr>
      </w:pPr>
      <w:r>
        <w:rPr>
          <w:rFonts w:ascii="Arial" w:hAnsi="Arial" w:cs="Arial"/>
          <w:b/>
          <w:bCs/>
          <w:color w:val="4472C4" w:themeColor="accent1"/>
          <w:sz w:val="24"/>
          <w:szCs w:val="24"/>
        </w:rPr>
        <w:t>Overview</w:t>
      </w:r>
      <w:r w:rsidRPr="00E33E53">
        <w:rPr>
          <w:rFonts w:ascii="Arial" w:hAnsi="Arial" w:cs="Arial"/>
          <w:b/>
          <w:bCs/>
          <w:color w:val="4472C4" w:themeColor="accent1"/>
          <w:sz w:val="24"/>
          <w:szCs w:val="24"/>
        </w:rPr>
        <w:t xml:space="preserve"> </w:t>
      </w:r>
    </w:p>
    <w:p w14:paraId="0B10EB2C" w14:textId="2AAF2034" w:rsidR="00920B5E" w:rsidRDefault="003D13EA" w:rsidP="00E33E53">
      <w:pPr>
        <w:pStyle w:val="BodyText"/>
        <w:spacing w:before="120" w:line="240" w:lineRule="auto"/>
        <w:ind w:left="0" w:right="403"/>
        <w:rPr>
          <w:rFonts w:ascii="Arial" w:hAnsi="Arial" w:cs="Arial"/>
          <w:sz w:val="22"/>
          <w:szCs w:val="22"/>
        </w:rPr>
      </w:pPr>
      <w:r w:rsidRPr="005F6A34">
        <w:rPr>
          <w:rFonts w:ascii="Arial" w:hAnsi="Arial" w:cs="Arial"/>
          <w:sz w:val="22"/>
          <w:szCs w:val="22"/>
        </w:rPr>
        <w:t xml:space="preserve">Baseline </w:t>
      </w:r>
      <w:r w:rsidR="002B7FB7">
        <w:rPr>
          <w:rFonts w:ascii="Arial" w:hAnsi="Arial" w:cs="Arial"/>
          <w:sz w:val="22"/>
          <w:szCs w:val="22"/>
        </w:rPr>
        <w:t>monitoring is</w:t>
      </w:r>
      <w:r w:rsidRPr="005F6A34">
        <w:rPr>
          <w:rFonts w:ascii="Arial" w:hAnsi="Arial" w:cs="Arial"/>
          <w:sz w:val="22"/>
          <w:szCs w:val="22"/>
        </w:rPr>
        <w:t xml:space="preserve"> the standard </w:t>
      </w:r>
      <w:r w:rsidR="00FA7771" w:rsidRPr="005F6A34">
        <w:rPr>
          <w:rFonts w:ascii="Arial" w:hAnsi="Arial" w:cs="Arial"/>
          <w:sz w:val="22"/>
          <w:szCs w:val="22"/>
        </w:rPr>
        <w:t xml:space="preserve">ongoing </w:t>
      </w:r>
      <w:r w:rsidRPr="005F6A34">
        <w:rPr>
          <w:rFonts w:ascii="Arial" w:hAnsi="Arial" w:cs="Arial"/>
          <w:sz w:val="22"/>
          <w:szCs w:val="22"/>
        </w:rPr>
        <w:t>oversight of a</w:t>
      </w:r>
      <w:r w:rsidR="008B7008">
        <w:rPr>
          <w:rFonts w:ascii="Arial" w:hAnsi="Arial" w:cs="Arial"/>
          <w:sz w:val="22"/>
          <w:szCs w:val="22"/>
        </w:rPr>
        <w:t>l</w:t>
      </w:r>
      <w:r w:rsidRPr="005F6A34">
        <w:rPr>
          <w:rFonts w:ascii="Arial" w:hAnsi="Arial" w:cs="Arial"/>
          <w:sz w:val="22"/>
          <w:szCs w:val="22"/>
        </w:rPr>
        <w:t>l</w:t>
      </w:r>
      <w:r w:rsidR="008B7008">
        <w:rPr>
          <w:rFonts w:ascii="Arial" w:hAnsi="Arial" w:cs="Arial"/>
          <w:sz w:val="22"/>
          <w:szCs w:val="22"/>
        </w:rPr>
        <w:t xml:space="preserve"> Independent Living (</w:t>
      </w:r>
      <w:r w:rsidRPr="005F6A34">
        <w:rPr>
          <w:rFonts w:ascii="Arial" w:hAnsi="Arial" w:cs="Arial"/>
          <w:sz w:val="22"/>
          <w:szCs w:val="22"/>
        </w:rPr>
        <w:t>IL</w:t>
      </w:r>
      <w:r w:rsidR="008B7008">
        <w:rPr>
          <w:rFonts w:ascii="Arial" w:hAnsi="Arial" w:cs="Arial"/>
          <w:sz w:val="22"/>
          <w:szCs w:val="22"/>
        </w:rPr>
        <w:t>)</w:t>
      </w:r>
      <w:r w:rsidRPr="005F6A34">
        <w:rPr>
          <w:rFonts w:ascii="Arial" w:hAnsi="Arial" w:cs="Arial"/>
          <w:sz w:val="22"/>
          <w:szCs w:val="22"/>
        </w:rPr>
        <w:t xml:space="preserve"> grantees</w:t>
      </w:r>
      <w:r w:rsidR="003340E7" w:rsidRPr="005F6A34">
        <w:rPr>
          <w:rFonts w:ascii="Arial" w:hAnsi="Arial" w:cs="Arial"/>
          <w:sz w:val="22"/>
          <w:szCs w:val="22"/>
        </w:rPr>
        <w:t xml:space="preserve"> that </w:t>
      </w:r>
      <w:r w:rsidR="002B7FB7">
        <w:rPr>
          <w:rFonts w:ascii="Arial" w:hAnsi="Arial" w:cs="Arial"/>
          <w:sz w:val="22"/>
          <w:szCs w:val="22"/>
        </w:rPr>
        <w:t xml:space="preserve">is carried out </w:t>
      </w:r>
      <w:r w:rsidR="003340E7" w:rsidRPr="005F6A34">
        <w:rPr>
          <w:rFonts w:ascii="Arial" w:hAnsi="Arial" w:cs="Arial"/>
          <w:sz w:val="22"/>
          <w:szCs w:val="22"/>
        </w:rPr>
        <w:t>annually</w:t>
      </w:r>
      <w:r w:rsidR="002B7FB7">
        <w:rPr>
          <w:rFonts w:ascii="Arial" w:hAnsi="Arial" w:cs="Arial"/>
          <w:sz w:val="22"/>
          <w:szCs w:val="22"/>
        </w:rPr>
        <w:t xml:space="preserve">. It is a key </w:t>
      </w:r>
      <w:r w:rsidR="00D4001B">
        <w:rPr>
          <w:rFonts w:ascii="Arial" w:hAnsi="Arial" w:cs="Arial"/>
          <w:sz w:val="22"/>
          <w:szCs w:val="22"/>
        </w:rPr>
        <w:t xml:space="preserve">part of the COMP (Comprehensive Oversight and Monitoring Protocol) for the IL program. </w:t>
      </w:r>
      <w:r w:rsidR="003340E7" w:rsidRPr="005F6A34">
        <w:rPr>
          <w:rFonts w:ascii="Arial" w:hAnsi="Arial" w:cs="Arial"/>
          <w:sz w:val="22"/>
          <w:szCs w:val="22"/>
        </w:rPr>
        <w:t xml:space="preserve">All grantees undergo baseline monitoring, as mandated in the Rehab Act of 1973, as amended by WIOA. Program and </w:t>
      </w:r>
      <w:r w:rsidR="00E33E53">
        <w:rPr>
          <w:rFonts w:ascii="Arial" w:hAnsi="Arial" w:cs="Arial"/>
          <w:sz w:val="22"/>
          <w:szCs w:val="22"/>
        </w:rPr>
        <w:t>f</w:t>
      </w:r>
      <w:r w:rsidR="003340E7" w:rsidRPr="005F6A34">
        <w:rPr>
          <w:rFonts w:ascii="Arial" w:hAnsi="Arial" w:cs="Arial"/>
          <w:sz w:val="22"/>
          <w:szCs w:val="22"/>
        </w:rPr>
        <w:t xml:space="preserve">iscal </w:t>
      </w:r>
      <w:r w:rsidR="00E33E53">
        <w:rPr>
          <w:rFonts w:ascii="Arial" w:hAnsi="Arial" w:cs="Arial"/>
          <w:sz w:val="22"/>
          <w:szCs w:val="22"/>
        </w:rPr>
        <w:t>o</w:t>
      </w:r>
      <w:r w:rsidR="003340E7" w:rsidRPr="005F6A34">
        <w:rPr>
          <w:rFonts w:ascii="Arial" w:hAnsi="Arial" w:cs="Arial"/>
          <w:sz w:val="22"/>
          <w:szCs w:val="22"/>
        </w:rPr>
        <w:t>fficers</w:t>
      </w:r>
      <w:r w:rsidR="175C68EF" w:rsidRPr="005F6A34">
        <w:rPr>
          <w:rFonts w:ascii="Arial" w:hAnsi="Arial" w:cs="Arial"/>
          <w:sz w:val="22"/>
          <w:szCs w:val="22"/>
        </w:rPr>
        <w:t xml:space="preserve"> </w:t>
      </w:r>
      <w:r w:rsidR="002B7FB7">
        <w:rPr>
          <w:rFonts w:ascii="Arial" w:hAnsi="Arial" w:cs="Arial"/>
          <w:sz w:val="22"/>
          <w:szCs w:val="22"/>
        </w:rPr>
        <w:t xml:space="preserve">carry out </w:t>
      </w:r>
      <w:r w:rsidR="003340E7" w:rsidRPr="005F6A34">
        <w:rPr>
          <w:rFonts w:ascii="Arial" w:hAnsi="Arial" w:cs="Arial"/>
          <w:sz w:val="22"/>
          <w:szCs w:val="22"/>
        </w:rPr>
        <w:t xml:space="preserve">baseline </w:t>
      </w:r>
      <w:r w:rsidR="002B7FB7">
        <w:rPr>
          <w:rFonts w:ascii="Arial" w:hAnsi="Arial" w:cs="Arial"/>
          <w:sz w:val="22"/>
          <w:szCs w:val="22"/>
        </w:rPr>
        <w:t xml:space="preserve">monitoring </w:t>
      </w:r>
      <w:r w:rsidR="175C68EF" w:rsidRPr="005F6A34">
        <w:rPr>
          <w:rFonts w:ascii="Arial" w:hAnsi="Arial" w:cs="Arial"/>
          <w:sz w:val="22"/>
          <w:szCs w:val="22"/>
        </w:rPr>
        <w:t xml:space="preserve">to assess a grantee’s </w:t>
      </w:r>
      <w:r w:rsidR="283DA44B" w:rsidRPr="005F6A34">
        <w:rPr>
          <w:rFonts w:ascii="Arial" w:hAnsi="Arial" w:cs="Arial"/>
          <w:sz w:val="22"/>
          <w:szCs w:val="22"/>
        </w:rPr>
        <w:t>performance</w:t>
      </w:r>
      <w:r w:rsidR="002B0BD7">
        <w:rPr>
          <w:rFonts w:ascii="Arial" w:hAnsi="Arial" w:cs="Arial"/>
          <w:sz w:val="22"/>
          <w:szCs w:val="22"/>
        </w:rPr>
        <w:t xml:space="preserve"> in </w:t>
      </w:r>
      <w:r w:rsidR="00522011" w:rsidRPr="005F6A34">
        <w:rPr>
          <w:rFonts w:ascii="Arial" w:hAnsi="Arial" w:cs="Arial"/>
          <w:sz w:val="22"/>
          <w:szCs w:val="22"/>
        </w:rPr>
        <w:t xml:space="preserve">both fiscal and programmatic elements. </w:t>
      </w:r>
      <w:r w:rsidR="00CB46CB" w:rsidRPr="005F6A34">
        <w:rPr>
          <w:rFonts w:ascii="Arial" w:hAnsi="Arial" w:cs="Arial"/>
          <w:sz w:val="22"/>
          <w:szCs w:val="22"/>
        </w:rPr>
        <w:t>Issues discovered during</w:t>
      </w:r>
      <w:r w:rsidR="003340E7" w:rsidRPr="005F6A34">
        <w:rPr>
          <w:rFonts w:ascii="Arial" w:hAnsi="Arial" w:cs="Arial"/>
          <w:sz w:val="22"/>
          <w:szCs w:val="22"/>
        </w:rPr>
        <w:t xml:space="preserve"> baseline reviews can lead to targeted or comprehensive reviews.</w:t>
      </w:r>
    </w:p>
    <w:p w14:paraId="2D360468" w14:textId="77777777" w:rsidR="00C50661" w:rsidRPr="005F6A34" w:rsidRDefault="00C50661" w:rsidP="00E33E53">
      <w:pPr>
        <w:pStyle w:val="BodyText"/>
        <w:spacing w:before="120" w:line="240" w:lineRule="auto"/>
        <w:ind w:left="0" w:right="403"/>
        <w:rPr>
          <w:rFonts w:ascii="Arial" w:hAnsi="Arial" w:cs="Arial"/>
          <w:sz w:val="22"/>
          <w:szCs w:val="22"/>
        </w:rPr>
      </w:pPr>
    </w:p>
    <w:p w14:paraId="3E305B19" w14:textId="2244EFDE" w:rsidR="004B7B9C" w:rsidRPr="00E33E53" w:rsidRDefault="00E33E53" w:rsidP="00E33E53">
      <w:pPr>
        <w:pStyle w:val="Heading2"/>
        <w:spacing w:after="120" w:line="240" w:lineRule="auto"/>
        <w:rPr>
          <w:rFonts w:ascii="Arial" w:hAnsi="Arial" w:cs="Arial"/>
          <w:b/>
          <w:bCs/>
          <w:color w:val="4472C4" w:themeColor="accent1"/>
          <w:sz w:val="24"/>
          <w:szCs w:val="24"/>
        </w:rPr>
      </w:pPr>
      <w:r>
        <w:rPr>
          <w:rFonts w:ascii="Arial" w:hAnsi="Arial" w:cs="Arial"/>
          <w:b/>
          <w:bCs/>
          <w:color w:val="4472C4" w:themeColor="accent1"/>
          <w:sz w:val="24"/>
          <w:szCs w:val="24"/>
        </w:rPr>
        <w:t>Purpose of</w:t>
      </w:r>
      <w:r w:rsidR="00D41716" w:rsidRPr="00E33E53">
        <w:rPr>
          <w:rFonts w:ascii="Arial" w:hAnsi="Arial" w:cs="Arial"/>
          <w:b/>
          <w:bCs/>
          <w:color w:val="4472C4" w:themeColor="accent1"/>
          <w:sz w:val="24"/>
          <w:szCs w:val="24"/>
        </w:rPr>
        <w:t xml:space="preserve"> </w:t>
      </w:r>
      <w:r w:rsidR="00310084" w:rsidRPr="00E33E53">
        <w:rPr>
          <w:rFonts w:ascii="Arial" w:hAnsi="Arial" w:cs="Arial"/>
          <w:b/>
          <w:bCs/>
          <w:color w:val="4472C4" w:themeColor="accent1"/>
          <w:sz w:val="24"/>
          <w:szCs w:val="24"/>
        </w:rPr>
        <w:t>Baseline Monitoring</w:t>
      </w:r>
      <w:r w:rsidR="003D13EA" w:rsidRPr="00E33E53">
        <w:rPr>
          <w:rFonts w:ascii="Arial" w:hAnsi="Arial" w:cs="Arial"/>
          <w:b/>
          <w:bCs/>
          <w:color w:val="4472C4" w:themeColor="accent1"/>
          <w:sz w:val="24"/>
          <w:szCs w:val="24"/>
        </w:rPr>
        <w:t xml:space="preserve"> </w:t>
      </w:r>
    </w:p>
    <w:p w14:paraId="468A2EB6" w14:textId="63CFF3FF" w:rsidR="00310084" w:rsidRPr="005F6A34" w:rsidRDefault="00E33E53" w:rsidP="00E33E53">
      <w:pPr>
        <w:pStyle w:val="BodyText"/>
        <w:spacing w:before="120" w:line="240" w:lineRule="auto"/>
        <w:ind w:left="0" w:right="403"/>
        <w:rPr>
          <w:rFonts w:ascii="Arial" w:hAnsi="Arial" w:cs="Arial"/>
          <w:sz w:val="22"/>
          <w:szCs w:val="22"/>
        </w:rPr>
      </w:pPr>
      <w:r>
        <w:rPr>
          <w:rFonts w:ascii="Arial" w:hAnsi="Arial" w:cs="Arial"/>
          <w:sz w:val="22"/>
          <w:szCs w:val="22"/>
        </w:rPr>
        <w:t>B</w:t>
      </w:r>
      <w:r w:rsidR="00310084" w:rsidRPr="005F6A34">
        <w:rPr>
          <w:rFonts w:ascii="Arial" w:hAnsi="Arial" w:cs="Arial"/>
          <w:sz w:val="22"/>
          <w:szCs w:val="22"/>
        </w:rPr>
        <w:t>aseline monitoring</w:t>
      </w:r>
      <w:r>
        <w:rPr>
          <w:rFonts w:ascii="Arial" w:hAnsi="Arial" w:cs="Arial"/>
          <w:sz w:val="22"/>
          <w:szCs w:val="22"/>
        </w:rPr>
        <w:t xml:space="preserve">, or </w:t>
      </w:r>
      <w:r w:rsidR="004A241C">
        <w:rPr>
          <w:rFonts w:ascii="Arial" w:hAnsi="Arial" w:cs="Arial"/>
          <w:sz w:val="22"/>
          <w:szCs w:val="22"/>
        </w:rPr>
        <w:t xml:space="preserve">a </w:t>
      </w:r>
      <w:r>
        <w:rPr>
          <w:rFonts w:ascii="Arial" w:hAnsi="Arial" w:cs="Arial"/>
          <w:sz w:val="22"/>
          <w:szCs w:val="22"/>
        </w:rPr>
        <w:t xml:space="preserve">baseline review, </w:t>
      </w:r>
      <w:r w:rsidR="00CB46CB" w:rsidRPr="005F6A34">
        <w:rPr>
          <w:rFonts w:ascii="Arial" w:hAnsi="Arial" w:cs="Arial"/>
          <w:sz w:val="22"/>
          <w:szCs w:val="22"/>
        </w:rPr>
        <w:t>assess</w:t>
      </w:r>
      <w:r w:rsidR="004A241C">
        <w:rPr>
          <w:rFonts w:ascii="Arial" w:hAnsi="Arial" w:cs="Arial"/>
          <w:sz w:val="22"/>
          <w:szCs w:val="22"/>
        </w:rPr>
        <w:t>es</w:t>
      </w:r>
      <w:r w:rsidR="00CB46CB" w:rsidRPr="005F6A34">
        <w:rPr>
          <w:rFonts w:ascii="Arial" w:hAnsi="Arial" w:cs="Arial"/>
          <w:sz w:val="22"/>
          <w:szCs w:val="22"/>
        </w:rPr>
        <w:t xml:space="preserve"> a grantee’s</w:t>
      </w:r>
      <w:r w:rsidR="005D5241">
        <w:rPr>
          <w:rFonts w:ascii="Arial" w:hAnsi="Arial" w:cs="Arial"/>
          <w:sz w:val="22"/>
          <w:szCs w:val="22"/>
        </w:rPr>
        <w:t xml:space="preserve"> compliance with Rehab Act and regulatory requirements</w:t>
      </w:r>
      <w:r>
        <w:rPr>
          <w:rFonts w:ascii="Arial" w:hAnsi="Arial" w:cs="Arial"/>
          <w:sz w:val="22"/>
          <w:szCs w:val="22"/>
        </w:rPr>
        <w:t xml:space="preserve">. In addition, </w:t>
      </w:r>
      <w:r w:rsidR="004A241C">
        <w:rPr>
          <w:rFonts w:ascii="Arial" w:hAnsi="Arial" w:cs="Arial"/>
          <w:sz w:val="22"/>
          <w:szCs w:val="22"/>
        </w:rPr>
        <w:t xml:space="preserve">the </w:t>
      </w:r>
      <w:r>
        <w:rPr>
          <w:rFonts w:ascii="Arial" w:hAnsi="Arial" w:cs="Arial"/>
          <w:sz w:val="22"/>
          <w:szCs w:val="22"/>
        </w:rPr>
        <w:t>baseline review highlight</w:t>
      </w:r>
      <w:r w:rsidR="004A241C">
        <w:rPr>
          <w:rFonts w:ascii="Arial" w:hAnsi="Arial" w:cs="Arial"/>
          <w:sz w:val="22"/>
          <w:szCs w:val="22"/>
        </w:rPr>
        <w:t>s</w:t>
      </w:r>
      <w:r>
        <w:rPr>
          <w:rFonts w:ascii="Arial" w:hAnsi="Arial" w:cs="Arial"/>
          <w:sz w:val="22"/>
          <w:szCs w:val="22"/>
        </w:rPr>
        <w:t xml:space="preserve"> best practices among grantees and identif</w:t>
      </w:r>
      <w:r w:rsidR="004A241C">
        <w:rPr>
          <w:rFonts w:ascii="Arial" w:hAnsi="Arial" w:cs="Arial"/>
          <w:sz w:val="22"/>
          <w:szCs w:val="22"/>
        </w:rPr>
        <w:t>ies</w:t>
      </w:r>
      <w:r>
        <w:rPr>
          <w:rFonts w:ascii="Arial" w:hAnsi="Arial" w:cs="Arial"/>
          <w:sz w:val="22"/>
          <w:szCs w:val="22"/>
        </w:rPr>
        <w:t xml:space="preserve"> </w:t>
      </w:r>
      <w:r w:rsidR="00CB46CB" w:rsidRPr="005F6A34">
        <w:rPr>
          <w:rFonts w:ascii="Arial" w:hAnsi="Arial" w:cs="Arial"/>
          <w:sz w:val="22"/>
          <w:szCs w:val="22"/>
        </w:rPr>
        <w:t xml:space="preserve">opportunities </w:t>
      </w:r>
      <w:r>
        <w:rPr>
          <w:rFonts w:ascii="Arial" w:hAnsi="Arial" w:cs="Arial"/>
          <w:sz w:val="22"/>
          <w:szCs w:val="22"/>
        </w:rPr>
        <w:t xml:space="preserve">where </w:t>
      </w:r>
      <w:r w:rsidR="003340E7" w:rsidRPr="005F6A34">
        <w:rPr>
          <w:rFonts w:ascii="Arial" w:hAnsi="Arial" w:cs="Arial"/>
          <w:sz w:val="22"/>
          <w:szCs w:val="22"/>
        </w:rPr>
        <w:t xml:space="preserve">training and technical assistance </w:t>
      </w:r>
      <w:r>
        <w:rPr>
          <w:rFonts w:ascii="Arial" w:hAnsi="Arial" w:cs="Arial"/>
          <w:sz w:val="22"/>
          <w:szCs w:val="22"/>
        </w:rPr>
        <w:t xml:space="preserve">can </w:t>
      </w:r>
      <w:r w:rsidR="003340E7" w:rsidRPr="005F6A34">
        <w:rPr>
          <w:rFonts w:ascii="Arial" w:hAnsi="Arial" w:cs="Arial"/>
          <w:sz w:val="22"/>
          <w:szCs w:val="22"/>
        </w:rPr>
        <w:t>support the</w:t>
      </w:r>
      <w:r w:rsidR="00CB46CB" w:rsidRPr="005F6A34">
        <w:rPr>
          <w:rFonts w:ascii="Arial" w:hAnsi="Arial" w:cs="Arial"/>
          <w:sz w:val="22"/>
          <w:szCs w:val="22"/>
        </w:rPr>
        <w:t xml:space="preserve"> grantee in meeting</w:t>
      </w:r>
      <w:r>
        <w:rPr>
          <w:rFonts w:ascii="Arial" w:hAnsi="Arial" w:cs="Arial"/>
          <w:sz w:val="22"/>
          <w:szCs w:val="22"/>
        </w:rPr>
        <w:t xml:space="preserve"> </w:t>
      </w:r>
      <w:r w:rsidR="00CB46CB" w:rsidRPr="005F6A34">
        <w:rPr>
          <w:rFonts w:ascii="Arial" w:hAnsi="Arial" w:cs="Arial"/>
          <w:sz w:val="22"/>
          <w:szCs w:val="22"/>
        </w:rPr>
        <w:t>award requirements</w:t>
      </w:r>
      <w:r w:rsidR="00F47480">
        <w:rPr>
          <w:rFonts w:ascii="Arial" w:hAnsi="Arial" w:cs="Arial"/>
          <w:sz w:val="22"/>
          <w:szCs w:val="22"/>
        </w:rPr>
        <w:t xml:space="preserve">. </w:t>
      </w:r>
      <w:r w:rsidR="004A241C">
        <w:rPr>
          <w:rFonts w:ascii="Arial" w:hAnsi="Arial" w:cs="Arial"/>
          <w:sz w:val="22"/>
          <w:szCs w:val="22"/>
        </w:rPr>
        <w:t>The b</w:t>
      </w:r>
      <w:r w:rsidR="00F47480">
        <w:rPr>
          <w:rFonts w:ascii="Arial" w:hAnsi="Arial" w:cs="Arial"/>
          <w:sz w:val="22"/>
          <w:szCs w:val="22"/>
        </w:rPr>
        <w:t xml:space="preserve">aseline </w:t>
      </w:r>
      <w:r w:rsidR="002B0BD7">
        <w:rPr>
          <w:rFonts w:ascii="Arial" w:hAnsi="Arial" w:cs="Arial"/>
          <w:sz w:val="22"/>
          <w:szCs w:val="22"/>
        </w:rPr>
        <w:t>review</w:t>
      </w:r>
      <w:r w:rsidR="004A241C">
        <w:rPr>
          <w:rFonts w:ascii="Arial" w:hAnsi="Arial" w:cs="Arial"/>
          <w:sz w:val="22"/>
          <w:szCs w:val="22"/>
        </w:rPr>
        <w:t xml:space="preserve"> assesses </w:t>
      </w:r>
      <w:r w:rsidR="002B0BD7">
        <w:rPr>
          <w:rFonts w:ascii="Arial" w:hAnsi="Arial" w:cs="Arial"/>
          <w:sz w:val="22"/>
          <w:szCs w:val="22"/>
        </w:rPr>
        <w:t xml:space="preserve">grantee </w:t>
      </w:r>
      <w:r w:rsidR="005D5241">
        <w:rPr>
          <w:rFonts w:ascii="Arial" w:hAnsi="Arial" w:cs="Arial"/>
          <w:sz w:val="22"/>
          <w:szCs w:val="22"/>
        </w:rPr>
        <w:t>information in t</w:t>
      </w:r>
      <w:r w:rsidR="00310084" w:rsidRPr="005F6A34">
        <w:rPr>
          <w:rFonts w:ascii="Arial" w:hAnsi="Arial" w:cs="Arial"/>
          <w:sz w:val="22"/>
          <w:szCs w:val="22"/>
        </w:rPr>
        <w:t xml:space="preserve">he following areas: </w:t>
      </w:r>
    </w:p>
    <w:p w14:paraId="3D14B2E3" w14:textId="4DE7D0E8" w:rsidR="004B7B9C" w:rsidRPr="005F6A34" w:rsidRDefault="004B7B9C" w:rsidP="00E33E53">
      <w:pPr>
        <w:pStyle w:val="BodyText"/>
        <w:numPr>
          <w:ilvl w:val="0"/>
          <w:numId w:val="14"/>
        </w:numPr>
        <w:spacing w:before="120" w:line="240" w:lineRule="auto"/>
        <w:ind w:right="403"/>
        <w:rPr>
          <w:rFonts w:ascii="Arial" w:hAnsi="Arial" w:cs="Arial"/>
          <w:sz w:val="22"/>
          <w:szCs w:val="22"/>
        </w:rPr>
      </w:pPr>
      <w:r w:rsidRPr="005F6A34">
        <w:rPr>
          <w:rFonts w:ascii="Arial" w:hAnsi="Arial" w:cs="Arial"/>
          <w:sz w:val="22"/>
          <w:szCs w:val="22"/>
        </w:rPr>
        <w:t>Financial Stability: The financial health of the grantee, including dependence on federal funding and history of financial management.</w:t>
      </w:r>
    </w:p>
    <w:p w14:paraId="3A533EC5" w14:textId="18B736AE" w:rsidR="004B7B9C" w:rsidRPr="005F6A34" w:rsidRDefault="004B7B9C" w:rsidP="00E33E53">
      <w:pPr>
        <w:pStyle w:val="BodyText"/>
        <w:numPr>
          <w:ilvl w:val="0"/>
          <w:numId w:val="14"/>
        </w:numPr>
        <w:spacing w:before="240" w:line="240" w:lineRule="auto"/>
        <w:ind w:right="410"/>
        <w:rPr>
          <w:rFonts w:ascii="Arial" w:hAnsi="Arial" w:cs="Arial"/>
          <w:sz w:val="22"/>
          <w:szCs w:val="22"/>
        </w:rPr>
      </w:pPr>
      <w:r w:rsidRPr="005F6A34">
        <w:rPr>
          <w:rFonts w:ascii="Arial" w:hAnsi="Arial" w:cs="Arial"/>
          <w:sz w:val="22"/>
          <w:szCs w:val="22"/>
        </w:rPr>
        <w:t xml:space="preserve">Program Performance: How the CIL is delivering </w:t>
      </w:r>
      <w:r w:rsidR="005D5241">
        <w:rPr>
          <w:rFonts w:ascii="Arial" w:hAnsi="Arial" w:cs="Arial"/>
          <w:sz w:val="22"/>
          <w:szCs w:val="22"/>
        </w:rPr>
        <w:t xml:space="preserve">required </w:t>
      </w:r>
      <w:r w:rsidRPr="005F6A34">
        <w:rPr>
          <w:rFonts w:ascii="Arial" w:hAnsi="Arial" w:cs="Arial"/>
          <w:sz w:val="22"/>
          <w:szCs w:val="22"/>
        </w:rPr>
        <w:t xml:space="preserve">services </w:t>
      </w:r>
      <w:r w:rsidR="5A589FF5" w:rsidRPr="005F6A34">
        <w:rPr>
          <w:rFonts w:ascii="Arial" w:hAnsi="Arial" w:cs="Arial"/>
          <w:sz w:val="22"/>
          <w:szCs w:val="22"/>
        </w:rPr>
        <w:t>e.g.</w:t>
      </w:r>
      <w:r w:rsidR="005F6A34">
        <w:rPr>
          <w:rFonts w:ascii="Arial" w:hAnsi="Arial" w:cs="Arial"/>
          <w:sz w:val="22"/>
          <w:szCs w:val="22"/>
        </w:rPr>
        <w:t>,</w:t>
      </w:r>
      <w:r w:rsidRPr="005F6A34">
        <w:rPr>
          <w:rFonts w:ascii="Arial" w:hAnsi="Arial" w:cs="Arial"/>
          <w:sz w:val="22"/>
          <w:szCs w:val="22"/>
        </w:rPr>
        <w:t xml:space="preserve"> peer counseling, advocacy, and transition services</w:t>
      </w:r>
      <w:r w:rsidR="005D5241">
        <w:rPr>
          <w:rFonts w:ascii="Arial" w:hAnsi="Arial" w:cs="Arial"/>
          <w:sz w:val="22"/>
          <w:szCs w:val="22"/>
        </w:rPr>
        <w:t>, including innovations and barriers</w:t>
      </w:r>
      <w:r w:rsidRPr="005F6A34">
        <w:rPr>
          <w:rFonts w:ascii="Arial" w:hAnsi="Arial" w:cs="Arial"/>
          <w:sz w:val="22"/>
          <w:szCs w:val="22"/>
        </w:rPr>
        <w:t>.</w:t>
      </w:r>
    </w:p>
    <w:p w14:paraId="269BEC27" w14:textId="13C695AF" w:rsidR="004B7B9C" w:rsidRPr="005F6A34" w:rsidRDefault="004B7B9C" w:rsidP="00E33E53">
      <w:pPr>
        <w:pStyle w:val="BodyText"/>
        <w:numPr>
          <w:ilvl w:val="0"/>
          <w:numId w:val="14"/>
        </w:numPr>
        <w:spacing w:before="240" w:line="240" w:lineRule="auto"/>
        <w:ind w:right="410"/>
        <w:rPr>
          <w:rFonts w:ascii="Arial" w:hAnsi="Arial" w:cs="Arial"/>
          <w:sz w:val="22"/>
          <w:szCs w:val="22"/>
        </w:rPr>
      </w:pPr>
      <w:r w:rsidRPr="005F6A34">
        <w:rPr>
          <w:rFonts w:ascii="Arial" w:hAnsi="Arial" w:cs="Arial"/>
          <w:sz w:val="22"/>
          <w:szCs w:val="22"/>
        </w:rPr>
        <w:t>Compliance with Program and Fiscal Terms: Adherence to terms and conditions of the grant.</w:t>
      </w:r>
    </w:p>
    <w:p w14:paraId="215C75AE" w14:textId="45EED3C4" w:rsidR="005F6A34" w:rsidRDefault="004B7B9C" w:rsidP="002B0BD7">
      <w:pPr>
        <w:pStyle w:val="BodyText"/>
        <w:numPr>
          <w:ilvl w:val="0"/>
          <w:numId w:val="14"/>
        </w:numPr>
        <w:spacing w:before="240" w:after="480" w:line="240" w:lineRule="auto"/>
        <w:ind w:right="403"/>
        <w:rPr>
          <w:rFonts w:ascii="Arial" w:hAnsi="Arial" w:cs="Arial"/>
          <w:sz w:val="22"/>
          <w:szCs w:val="22"/>
        </w:rPr>
      </w:pPr>
      <w:r w:rsidRPr="005F6A34">
        <w:rPr>
          <w:rFonts w:ascii="Arial" w:hAnsi="Arial" w:cs="Arial"/>
          <w:sz w:val="22"/>
          <w:szCs w:val="22"/>
        </w:rPr>
        <w:t xml:space="preserve">Timeliness and Quality of Reports: </w:t>
      </w:r>
      <w:r w:rsidR="005D5241">
        <w:rPr>
          <w:rFonts w:ascii="Arial" w:hAnsi="Arial" w:cs="Arial"/>
          <w:sz w:val="22"/>
          <w:szCs w:val="22"/>
        </w:rPr>
        <w:t xml:space="preserve">The timeliness, completeness and accuracy of </w:t>
      </w:r>
      <w:r w:rsidRPr="005F6A34">
        <w:rPr>
          <w:rFonts w:ascii="Arial" w:hAnsi="Arial" w:cs="Arial"/>
          <w:sz w:val="22"/>
          <w:szCs w:val="22"/>
        </w:rPr>
        <w:t>performance and fiscal reports.</w:t>
      </w:r>
    </w:p>
    <w:p w14:paraId="7A322A3E" w14:textId="51126376" w:rsidR="005F6A34" w:rsidRPr="00E33E53" w:rsidRDefault="003340E7" w:rsidP="00E33E53">
      <w:pPr>
        <w:pStyle w:val="Heading2"/>
        <w:spacing w:before="240" w:after="120" w:line="240" w:lineRule="auto"/>
        <w:rPr>
          <w:b/>
          <w:bCs/>
          <w:color w:val="4472C4" w:themeColor="accent1"/>
          <w:sz w:val="24"/>
          <w:szCs w:val="24"/>
        </w:rPr>
      </w:pPr>
      <w:r w:rsidRPr="00E33E53">
        <w:rPr>
          <w:rStyle w:val="normaltextrun"/>
          <w:rFonts w:ascii="Arial" w:hAnsi="Arial" w:cs="Arial"/>
          <w:b/>
          <w:bCs/>
          <w:color w:val="4472C4" w:themeColor="accent1"/>
          <w:sz w:val="24"/>
          <w:szCs w:val="24"/>
        </w:rPr>
        <w:t>Baseline Monitoring Activities</w:t>
      </w:r>
    </w:p>
    <w:p w14:paraId="02FD027C" w14:textId="366C8F0A" w:rsidR="00233000" w:rsidRPr="005F6A34" w:rsidRDefault="00AE23D3" w:rsidP="00E33E53">
      <w:pPr>
        <w:spacing w:line="240" w:lineRule="auto"/>
        <w:rPr>
          <w:rFonts w:ascii="Arial" w:hAnsi="Arial" w:cs="Arial"/>
        </w:rPr>
      </w:pPr>
      <w:r w:rsidRPr="005F6A34">
        <w:rPr>
          <w:rFonts w:ascii="Arial" w:hAnsi="Arial" w:cs="Arial"/>
        </w:rPr>
        <w:t xml:space="preserve">The </w:t>
      </w:r>
      <w:r w:rsidR="008B7008">
        <w:rPr>
          <w:rFonts w:ascii="Arial" w:hAnsi="Arial" w:cs="Arial"/>
        </w:rPr>
        <w:t>following t</w:t>
      </w:r>
      <w:r w:rsidRPr="005F6A34">
        <w:rPr>
          <w:rFonts w:ascii="Arial" w:hAnsi="Arial" w:cs="Arial"/>
        </w:rPr>
        <w:t xml:space="preserve">able outlines </w:t>
      </w:r>
      <w:r w:rsidR="0014476F" w:rsidRPr="005F6A34">
        <w:rPr>
          <w:rFonts w:ascii="Arial" w:hAnsi="Arial" w:cs="Arial"/>
        </w:rPr>
        <w:t xml:space="preserve">baseline monitoring activities for programmatic and fiscal aspects of </w:t>
      </w:r>
      <w:r w:rsidR="00430FFB" w:rsidRPr="005F6A34">
        <w:rPr>
          <w:rFonts w:ascii="Arial" w:hAnsi="Arial" w:cs="Arial"/>
        </w:rPr>
        <w:t>IL federal awards.</w:t>
      </w:r>
      <w:r w:rsidR="003340E7" w:rsidRPr="005F6A34">
        <w:rPr>
          <w:rFonts w:ascii="Arial" w:hAnsi="Arial" w:cs="Arial"/>
        </w:rPr>
        <w:t xml:space="preserve"> The </w:t>
      </w:r>
      <w:r w:rsidR="008B7008">
        <w:rPr>
          <w:rFonts w:ascii="Arial" w:hAnsi="Arial" w:cs="Arial"/>
        </w:rPr>
        <w:t>p</w:t>
      </w:r>
      <w:r w:rsidR="003340E7" w:rsidRPr="005F6A34">
        <w:rPr>
          <w:rFonts w:ascii="Arial" w:hAnsi="Arial" w:cs="Arial"/>
        </w:rPr>
        <w:t xml:space="preserve">rogram and </w:t>
      </w:r>
      <w:r w:rsidR="008B7008">
        <w:rPr>
          <w:rFonts w:ascii="Arial" w:hAnsi="Arial" w:cs="Arial"/>
        </w:rPr>
        <w:t>f</w:t>
      </w:r>
      <w:r w:rsidR="003340E7" w:rsidRPr="005F6A34">
        <w:rPr>
          <w:rFonts w:ascii="Arial" w:hAnsi="Arial" w:cs="Arial"/>
        </w:rPr>
        <w:t xml:space="preserve">iscal </w:t>
      </w:r>
      <w:r w:rsidR="008B7008">
        <w:rPr>
          <w:rFonts w:ascii="Arial" w:hAnsi="Arial" w:cs="Arial"/>
        </w:rPr>
        <w:t>o</w:t>
      </w:r>
      <w:r w:rsidR="003340E7" w:rsidRPr="005F6A34">
        <w:rPr>
          <w:rFonts w:ascii="Arial" w:hAnsi="Arial" w:cs="Arial"/>
        </w:rPr>
        <w:t>ffice</w:t>
      </w:r>
      <w:r w:rsidR="008B7008">
        <w:rPr>
          <w:rFonts w:ascii="Arial" w:hAnsi="Arial" w:cs="Arial"/>
        </w:rPr>
        <w:t>s</w:t>
      </w:r>
      <w:r w:rsidR="003340E7" w:rsidRPr="005F6A34">
        <w:rPr>
          <w:rFonts w:ascii="Arial" w:hAnsi="Arial" w:cs="Arial"/>
        </w:rPr>
        <w:t xml:space="preserve"> review</w:t>
      </w:r>
      <w:r w:rsidR="00E75C2B" w:rsidRPr="005F6A34">
        <w:rPr>
          <w:rFonts w:ascii="Arial" w:hAnsi="Arial" w:cs="Arial"/>
        </w:rPr>
        <w:t xml:space="preserve"> grantee reports</w:t>
      </w:r>
      <w:r w:rsidR="003340E7" w:rsidRPr="005F6A34">
        <w:rPr>
          <w:rFonts w:ascii="Arial" w:hAnsi="Arial" w:cs="Arial"/>
        </w:rPr>
        <w:t xml:space="preserve"> based on the order</w:t>
      </w:r>
      <w:r w:rsidR="00E75C2B" w:rsidRPr="005F6A34">
        <w:rPr>
          <w:rFonts w:ascii="Arial" w:hAnsi="Arial" w:cs="Arial"/>
        </w:rPr>
        <w:t xml:space="preserve"> in which they </w:t>
      </w:r>
      <w:r w:rsidR="00C620BA">
        <w:rPr>
          <w:rFonts w:ascii="Arial" w:hAnsi="Arial" w:cs="Arial"/>
        </w:rPr>
        <w:t>are</w:t>
      </w:r>
      <w:r w:rsidR="00C620BA" w:rsidRPr="005F6A34">
        <w:rPr>
          <w:rFonts w:ascii="Arial" w:hAnsi="Arial" w:cs="Arial"/>
        </w:rPr>
        <w:t xml:space="preserve"> </w:t>
      </w:r>
      <w:r w:rsidR="00E75C2B" w:rsidRPr="005F6A34">
        <w:rPr>
          <w:rFonts w:ascii="Arial" w:hAnsi="Arial" w:cs="Arial"/>
        </w:rPr>
        <w:t>r</w:t>
      </w:r>
      <w:r w:rsidR="003340E7" w:rsidRPr="005F6A34">
        <w:rPr>
          <w:rFonts w:ascii="Arial" w:hAnsi="Arial" w:cs="Arial"/>
        </w:rPr>
        <w:t xml:space="preserve">eceived. If revisions are needed, the grantee will be notified. </w:t>
      </w:r>
    </w:p>
    <w:tbl>
      <w:tblPr>
        <w:tblStyle w:val="TableGrid"/>
        <w:tblW w:w="8866" w:type="dxa"/>
        <w:tblLook w:val="04A0" w:firstRow="1" w:lastRow="0" w:firstColumn="1" w:lastColumn="0" w:noHBand="0" w:noVBand="1"/>
      </w:tblPr>
      <w:tblGrid>
        <w:gridCol w:w="2116"/>
        <w:gridCol w:w="2971"/>
        <w:gridCol w:w="3779"/>
      </w:tblGrid>
      <w:tr w:rsidR="00772F15" w:rsidRPr="005F6A34" w14:paraId="3E299989" w14:textId="77777777" w:rsidTr="0024239F">
        <w:tc>
          <w:tcPr>
            <w:tcW w:w="2116" w:type="dxa"/>
            <w:shd w:val="clear" w:color="auto" w:fill="D9E2F3" w:themeFill="accent1" w:themeFillTint="33"/>
          </w:tcPr>
          <w:p w14:paraId="3A5D2B38" w14:textId="77777777" w:rsidR="00772F15" w:rsidRPr="005F6A34" w:rsidRDefault="00772F15" w:rsidP="00D4001B">
            <w:pPr>
              <w:jc w:val="center"/>
              <w:rPr>
                <w:rFonts w:ascii="Arial" w:hAnsi="Arial" w:cs="Arial"/>
              </w:rPr>
            </w:pPr>
            <w:bookmarkStart w:id="0" w:name="_Hlk191482032"/>
            <w:r w:rsidRPr="005F6A34">
              <w:rPr>
                <w:rFonts w:ascii="Arial" w:hAnsi="Arial" w:cs="Arial"/>
              </w:rPr>
              <w:t>Action</w:t>
            </w:r>
          </w:p>
        </w:tc>
        <w:tc>
          <w:tcPr>
            <w:tcW w:w="2971" w:type="dxa"/>
            <w:shd w:val="clear" w:color="auto" w:fill="D9E2F3" w:themeFill="accent1" w:themeFillTint="33"/>
          </w:tcPr>
          <w:p w14:paraId="234FCE46" w14:textId="77777777" w:rsidR="00772F15" w:rsidRPr="005F6A34" w:rsidRDefault="00772F15" w:rsidP="00D4001B">
            <w:pPr>
              <w:jc w:val="center"/>
              <w:rPr>
                <w:rFonts w:ascii="Arial" w:hAnsi="Arial" w:cs="Arial"/>
              </w:rPr>
            </w:pPr>
            <w:r w:rsidRPr="005F6A34">
              <w:rPr>
                <w:rFonts w:ascii="Arial" w:hAnsi="Arial" w:cs="Arial"/>
              </w:rPr>
              <w:t>Description</w:t>
            </w:r>
          </w:p>
        </w:tc>
        <w:tc>
          <w:tcPr>
            <w:tcW w:w="3779" w:type="dxa"/>
            <w:shd w:val="clear" w:color="auto" w:fill="D9E2F3" w:themeFill="accent1" w:themeFillTint="33"/>
          </w:tcPr>
          <w:p w14:paraId="47A91F7B" w14:textId="77777777" w:rsidR="00772F15" w:rsidRPr="005F6A34" w:rsidRDefault="00772F15" w:rsidP="00D4001B">
            <w:pPr>
              <w:jc w:val="center"/>
              <w:rPr>
                <w:rFonts w:ascii="Arial" w:hAnsi="Arial" w:cs="Arial"/>
              </w:rPr>
            </w:pPr>
            <w:r w:rsidRPr="005F6A34">
              <w:rPr>
                <w:rFonts w:ascii="Arial" w:hAnsi="Arial" w:cs="Arial"/>
              </w:rPr>
              <w:t>Timeline</w:t>
            </w:r>
          </w:p>
        </w:tc>
      </w:tr>
      <w:bookmarkEnd w:id="0"/>
      <w:tr w:rsidR="00772F15" w:rsidRPr="005F6A34" w14:paraId="0F2FBAF3" w14:textId="77777777" w:rsidTr="0024239F">
        <w:tc>
          <w:tcPr>
            <w:tcW w:w="2116" w:type="dxa"/>
          </w:tcPr>
          <w:p w14:paraId="52DA4A04" w14:textId="5F5A390E" w:rsidR="00772F15" w:rsidRPr="005F6A34" w:rsidRDefault="00772F15" w:rsidP="00E33E53">
            <w:pPr>
              <w:rPr>
                <w:rFonts w:ascii="Arial" w:hAnsi="Arial" w:cs="Arial"/>
              </w:rPr>
            </w:pPr>
            <w:r w:rsidRPr="005F6A34">
              <w:rPr>
                <w:rFonts w:ascii="Arial" w:hAnsi="Arial" w:cs="Arial"/>
              </w:rPr>
              <w:t xml:space="preserve">Federal Financial Report (FFR) </w:t>
            </w:r>
          </w:p>
        </w:tc>
        <w:tc>
          <w:tcPr>
            <w:tcW w:w="2971" w:type="dxa"/>
          </w:tcPr>
          <w:p w14:paraId="1B566FE5" w14:textId="05F940D9" w:rsidR="00772F15" w:rsidRPr="005F6A34" w:rsidRDefault="00772F15" w:rsidP="00E33E53">
            <w:pPr>
              <w:rPr>
                <w:rFonts w:ascii="Arial" w:hAnsi="Arial" w:cs="Arial"/>
              </w:rPr>
            </w:pPr>
            <w:r w:rsidRPr="005F6A34">
              <w:rPr>
                <w:rFonts w:ascii="Arial" w:hAnsi="Arial" w:cs="Arial"/>
              </w:rPr>
              <w:t xml:space="preserve">At the end of each </w:t>
            </w:r>
            <w:r w:rsidR="008B7008">
              <w:rPr>
                <w:rFonts w:ascii="Arial" w:hAnsi="Arial" w:cs="Arial"/>
              </w:rPr>
              <w:t>f</w:t>
            </w:r>
            <w:r w:rsidR="00CD0BDA" w:rsidRPr="005F6A34">
              <w:rPr>
                <w:rFonts w:ascii="Arial" w:hAnsi="Arial" w:cs="Arial"/>
              </w:rPr>
              <w:t xml:space="preserve">ederal </w:t>
            </w:r>
            <w:r w:rsidRPr="005F6A34">
              <w:rPr>
                <w:rFonts w:ascii="Arial" w:hAnsi="Arial" w:cs="Arial"/>
              </w:rPr>
              <w:t xml:space="preserve">fiscal year, ILS and CIL grantees are required to complete Federal Financial Reports (FFRs/SF-425s) in the Payment Management System (PMS) to </w:t>
            </w:r>
            <w:r w:rsidR="00CD0BDA" w:rsidRPr="005F6A34">
              <w:rPr>
                <w:rFonts w:ascii="Arial" w:hAnsi="Arial" w:cs="Arial"/>
              </w:rPr>
              <w:t xml:space="preserve">report their </w:t>
            </w:r>
            <w:r w:rsidR="008B7008">
              <w:rPr>
                <w:rFonts w:ascii="Arial" w:hAnsi="Arial" w:cs="Arial"/>
              </w:rPr>
              <w:t>u</w:t>
            </w:r>
            <w:r w:rsidR="00CD0BDA" w:rsidRPr="005F6A34">
              <w:rPr>
                <w:rFonts w:ascii="Arial" w:hAnsi="Arial" w:cs="Arial"/>
              </w:rPr>
              <w:t>se of Federal funds and certify compliance with award requirements</w:t>
            </w:r>
            <w:r w:rsidRPr="005F6A34">
              <w:rPr>
                <w:rFonts w:ascii="Arial" w:hAnsi="Arial" w:cs="Arial"/>
              </w:rPr>
              <w:t>.</w:t>
            </w:r>
          </w:p>
        </w:tc>
        <w:tc>
          <w:tcPr>
            <w:tcW w:w="3779" w:type="dxa"/>
          </w:tcPr>
          <w:p w14:paraId="08BAE086" w14:textId="77777777" w:rsidR="00772F15" w:rsidRDefault="00772F15" w:rsidP="00E33E53">
            <w:pPr>
              <w:rPr>
                <w:rFonts w:ascii="Arial" w:hAnsi="Arial" w:cs="Arial"/>
              </w:rPr>
            </w:pPr>
            <w:r w:rsidRPr="005F6A34">
              <w:rPr>
                <w:rFonts w:ascii="Arial" w:hAnsi="Arial" w:cs="Arial"/>
              </w:rPr>
              <w:t>Due annually, between December and January</w:t>
            </w:r>
          </w:p>
          <w:p w14:paraId="29063C4F" w14:textId="77777777" w:rsidR="00D4001B" w:rsidRDefault="00D4001B" w:rsidP="00E33E53">
            <w:pPr>
              <w:rPr>
                <w:rFonts w:ascii="Arial" w:hAnsi="Arial" w:cs="Arial"/>
              </w:rPr>
            </w:pPr>
          </w:p>
          <w:p w14:paraId="304558FF" w14:textId="77777777" w:rsidR="00D4001B" w:rsidRDefault="00D4001B" w:rsidP="00E33E53">
            <w:pPr>
              <w:rPr>
                <w:rFonts w:ascii="Arial" w:hAnsi="Arial" w:cs="Arial"/>
              </w:rPr>
            </w:pPr>
          </w:p>
          <w:p w14:paraId="5125859D" w14:textId="77777777" w:rsidR="00D4001B" w:rsidRDefault="00D4001B" w:rsidP="00E33E53">
            <w:pPr>
              <w:rPr>
                <w:rFonts w:ascii="Arial" w:hAnsi="Arial" w:cs="Arial"/>
              </w:rPr>
            </w:pPr>
          </w:p>
          <w:p w14:paraId="024BB00D" w14:textId="77777777" w:rsidR="00D4001B" w:rsidRDefault="00D4001B" w:rsidP="00E33E53">
            <w:pPr>
              <w:rPr>
                <w:rFonts w:ascii="Arial" w:hAnsi="Arial" w:cs="Arial"/>
              </w:rPr>
            </w:pPr>
          </w:p>
          <w:p w14:paraId="1A56B4FB" w14:textId="77777777" w:rsidR="00D4001B" w:rsidRDefault="00D4001B" w:rsidP="00E33E53">
            <w:pPr>
              <w:rPr>
                <w:rFonts w:ascii="Arial" w:hAnsi="Arial" w:cs="Arial"/>
              </w:rPr>
            </w:pPr>
          </w:p>
          <w:p w14:paraId="729A99AD" w14:textId="77777777" w:rsidR="00D4001B" w:rsidRDefault="00D4001B" w:rsidP="00E33E53">
            <w:pPr>
              <w:rPr>
                <w:rFonts w:ascii="Arial" w:hAnsi="Arial" w:cs="Arial"/>
              </w:rPr>
            </w:pPr>
          </w:p>
          <w:p w14:paraId="00261309" w14:textId="77777777" w:rsidR="00D4001B" w:rsidRDefault="00D4001B" w:rsidP="00E33E53">
            <w:pPr>
              <w:rPr>
                <w:rFonts w:ascii="Arial" w:hAnsi="Arial" w:cs="Arial"/>
              </w:rPr>
            </w:pPr>
          </w:p>
          <w:p w14:paraId="14736C20" w14:textId="77777777" w:rsidR="004A241C" w:rsidRDefault="004A241C" w:rsidP="00E33E53">
            <w:pPr>
              <w:rPr>
                <w:rFonts w:ascii="Arial" w:hAnsi="Arial" w:cs="Arial"/>
              </w:rPr>
            </w:pPr>
          </w:p>
          <w:p w14:paraId="5E0F6201" w14:textId="6BF48D27" w:rsidR="00D4001B" w:rsidRPr="005F6A34" w:rsidRDefault="00D4001B" w:rsidP="00E33E53">
            <w:pPr>
              <w:rPr>
                <w:rFonts w:ascii="Arial" w:hAnsi="Arial" w:cs="Arial"/>
              </w:rPr>
            </w:pPr>
          </w:p>
        </w:tc>
      </w:tr>
      <w:tr w:rsidR="00D4001B" w:rsidRPr="005F6A34" w14:paraId="553935F4" w14:textId="77777777" w:rsidTr="0024239F">
        <w:tc>
          <w:tcPr>
            <w:tcW w:w="2116" w:type="dxa"/>
            <w:shd w:val="clear" w:color="auto" w:fill="D9E2F3" w:themeFill="accent1" w:themeFillTint="33"/>
          </w:tcPr>
          <w:p w14:paraId="1FC8DCEA" w14:textId="6354D1BE" w:rsidR="00D4001B" w:rsidRPr="00D4001B" w:rsidRDefault="00D4001B" w:rsidP="00D4001B">
            <w:pPr>
              <w:jc w:val="center"/>
              <w:rPr>
                <w:rFonts w:ascii="Arial" w:hAnsi="Arial" w:cs="Arial"/>
              </w:rPr>
            </w:pPr>
            <w:r w:rsidRPr="00D4001B">
              <w:rPr>
                <w:rFonts w:ascii="Arial" w:hAnsi="Arial" w:cs="Arial"/>
              </w:rPr>
              <w:lastRenderedPageBreak/>
              <w:t>Action</w:t>
            </w:r>
          </w:p>
        </w:tc>
        <w:tc>
          <w:tcPr>
            <w:tcW w:w="2971" w:type="dxa"/>
            <w:shd w:val="clear" w:color="auto" w:fill="D9E2F3" w:themeFill="accent1" w:themeFillTint="33"/>
          </w:tcPr>
          <w:p w14:paraId="77CFC3F6" w14:textId="47FF4ACD" w:rsidR="00D4001B" w:rsidRPr="00D4001B" w:rsidRDefault="00D4001B" w:rsidP="00D4001B">
            <w:pPr>
              <w:jc w:val="center"/>
              <w:rPr>
                <w:rFonts w:ascii="Arial" w:hAnsi="Arial" w:cs="Arial"/>
              </w:rPr>
            </w:pPr>
            <w:r w:rsidRPr="00D4001B">
              <w:rPr>
                <w:rFonts w:ascii="Arial" w:hAnsi="Arial" w:cs="Arial"/>
              </w:rPr>
              <w:t>Description</w:t>
            </w:r>
          </w:p>
        </w:tc>
        <w:tc>
          <w:tcPr>
            <w:tcW w:w="3779" w:type="dxa"/>
            <w:shd w:val="clear" w:color="auto" w:fill="D9E2F3" w:themeFill="accent1" w:themeFillTint="33"/>
          </w:tcPr>
          <w:p w14:paraId="789DB517" w14:textId="27E58014" w:rsidR="00D4001B" w:rsidRPr="00D4001B" w:rsidRDefault="00D4001B" w:rsidP="00D4001B">
            <w:pPr>
              <w:jc w:val="center"/>
              <w:rPr>
                <w:rFonts w:ascii="Arial" w:hAnsi="Arial" w:cs="Arial"/>
              </w:rPr>
            </w:pPr>
            <w:r w:rsidRPr="00D4001B">
              <w:rPr>
                <w:rFonts w:ascii="Arial" w:hAnsi="Arial" w:cs="Arial"/>
              </w:rPr>
              <w:t>Timeline</w:t>
            </w:r>
          </w:p>
        </w:tc>
      </w:tr>
      <w:tr w:rsidR="00772F15" w:rsidRPr="005F6A34" w14:paraId="7B941D42" w14:textId="77777777" w:rsidTr="0024239F">
        <w:tc>
          <w:tcPr>
            <w:tcW w:w="2116" w:type="dxa"/>
          </w:tcPr>
          <w:p w14:paraId="360BC5EC" w14:textId="2353BD36" w:rsidR="00772F15" w:rsidRPr="005F6A34" w:rsidRDefault="00772F15" w:rsidP="00E33E53">
            <w:pPr>
              <w:rPr>
                <w:rFonts w:ascii="Arial" w:hAnsi="Arial" w:cs="Arial"/>
              </w:rPr>
            </w:pPr>
            <w:r w:rsidRPr="005F6A34">
              <w:rPr>
                <w:rFonts w:ascii="Arial" w:hAnsi="Arial" w:cs="Arial"/>
              </w:rPr>
              <w:t>Program Performance Report (PPR)</w:t>
            </w:r>
          </w:p>
        </w:tc>
        <w:tc>
          <w:tcPr>
            <w:tcW w:w="2971" w:type="dxa"/>
          </w:tcPr>
          <w:p w14:paraId="7CB4C739" w14:textId="3D8CFB91" w:rsidR="00772F15" w:rsidRPr="005F6A34" w:rsidRDefault="00772F15" w:rsidP="00E33E53">
            <w:pPr>
              <w:rPr>
                <w:rFonts w:ascii="Arial" w:hAnsi="Arial" w:cs="Arial"/>
              </w:rPr>
            </w:pPr>
            <w:r w:rsidRPr="005F6A34">
              <w:rPr>
                <w:rFonts w:ascii="Arial" w:hAnsi="Arial" w:cs="Arial"/>
              </w:rPr>
              <w:t>At the end of each fiscal year, ILS and CIL grantees are required to complete Program Performance Reports that measure progress of independent living (IL) programs including both quantitative and qualitative information</w:t>
            </w:r>
          </w:p>
        </w:tc>
        <w:tc>
          <w:tcPr>
            <w:tcW w:w="3779" w:type="dxa"/>
          </w:tcPr>
          <w:p w14:paraId="3E4BC367" w14:textId="15002808" w:rsidR="00772F15" w:rsidRPr="005F6A34" w:rsidRDefault="00772F15" w:rsidP="00E33E53">
            <w:pPr>
              <w:rPr>
                <w:rFonts w:ascii="Arial" w:hAnsi="Arial" w:cs="Arial"/>
              </w:rPr>
            </w:pPr>
            <w:r w:rsidRPr="005F6A34">
              <w:rPr>
                <w:rFonts w:ascii="Arial" w:hAnsi="Arial" w:cs="Arial"/>
              </w:rPr>
              <w:t xml:space="preserve">Due annually, in December </w:t>
            </w:r>
            <w:r w:rsidR="00C50661">
              <w:rPr>
                <w:rFonts w:ascii="Arial" w:hAnsi="Arial" w:cs="Arial"/>
              </w:rPr>
              <w:t xml:space="preserve">31 </w:t>
            </w:r>
            <w:r w:rsidRPr="005F6A34">
              <w:rPr>
                <w:rFonts w:ascii="Arial" w:hAnsi="Arial" w:cs="Arial"/>
              </w:rPr>
              <w:t xml:space="preserve">for CILs and January </w:t>
            </w:r>
            <w:r w:rsidR="00C50661">
              <w:rPr>
                <w:rFonts w:ascii="Arial" w:hAnsi="Arial" w:cs="Arial"/>
              </w:rPr>
              <w:t xml:space="preserve">31 </w:t>
            </w:r>
            <w:r w:rsidRPr="005F6A34">
              <w:rPr>
                <w:rFonts w:ascii="Arial" w:hAnsi="Arial" w:cs="Arial"/>
              </w:rPr>
              <w:t>for ILS</w:t>
            </w:r>
            <w:r w:rsidR="002B0BD7">
              <w:rPr>
                <w:rFonts w:ascii="Arial" w:hAnsi="Arial" w:cs="Arial"/>
              </w:rPr>
              <w:t>. Data from approved PPRs are published on the ACL website.</w:t>
            </w:r>
          </w:p>
        </w:tc>
      </w:tr>
      <w:tr w:rsidR="00772F15" w:rsidRPr="005F6A34" w14:paraId="60EEE025" w14:textId="77777777" w:rsidTr="0024239F">
        <w:tc>
          <w:tcPr>
            <w:tcW w:w="2116" w:type="dxa"/>
          </w:tcPr>
          <w:p w14:paraId="59300F37" w14:textId="4B75ECB6" w:rsidR="00772F15" w:rsidRPr="005F6A34" w:rsidRDefault="00772F15" w:rsidP="00E33E53">
            <w:pPr>
              <w:rPr>
                <w:rFonts w:ascii="Arial" w:hAnsi="Arial" w:cs="Arial"/>
              </w:rPr>
            </w:pPr>
            <w:r w:rsidRPr="005F6A34">
              <w:rPr>
                <w:rFonts w:ascii="Arial" w:hAnsi="Arial" w:cs="Arial"/>
              </w:rPr>
              <w:t>State Plan for Independent Living</w:t>
            </w:r>
          </w:p>
        </w:tc>
        <w:tc>
          <w:tcPr>
            <w:tcW w:w="2971" w:type="dxa"/>
          </w:tcPr>
          <w:p w14:paraId="23C4A499" w14:textId="3C2063C7" w:rsidR="00772F15" w:rsidRPr="005F6A34" w:rsidRDefault="00772F15" w:rsidP="00E33E53">
            <w:pPr>
              <w:rPr>
                <w:rFonts w:ascii="Arial" w:hAnsi="Arial" w:cs="Arial"/>
              </w:rPr>
            </w:pPr>
            <w:r w:rsidRPr="005F6A34">
              <w:rPr>
                <w:rFonts w:ascii="Arial" w:hAnsi="Arial" w:cs="Arial"/>
              </w:rPr>
              <w:t xml:space="preserve">The </w:t>
            </w:r>
            <w:r w:rsidR="002B0BD7">
              <w:rPr>
                <w:rFonts w:ascii="Arial" w:hAnsi="Arial" w:cs="Arial"/>
              </w:rPr>
              <w:t>S</w:t>
            </w:r>
            <w:r w:rsidRPr="005F6A34">
              <w:rPr>
                <w:rFonts w:ascii="Arial" w:hAnsi="Arial" w:cs="Arial"/>
              </w:rPr>
              <w:t xml:space="preserve">tate </w:t>
            </w:r>
            <w:r w:rsidR="002B0BD7">
              <w:rPr>
                <w:rFonts w:ascii="Arial" w:hAnsi="Arial" w:cs="Arial"/>
              </w:rPr>
              <w:t>P</w:t>
            </w:r>
            <w:r w:rsidRPr="005F6A34">
              <w:rPr>
                <w:rFonts w:ascii="Arial" w:hAnsi="Arial" w:cs="Arial"/>
              </w:rPr>
              <w:t xml:space="preserve">lan for </w:t>
            </w:r>
            <w:r w:rsidR="002B0BD7">
              <w:rPr>
                <w:rFonts w:ascii="Arial" w:hAnsi="Arial" w:cs="Arial"/>
              </w:rPr>
              <w:t>I</w:t>
            </w:r>
            <w:r w:rsidRPr="005F6A34">
              <w:rPr>
                <w:rFonts w:ascii="Arial" w:hAnsi="Arial" w:cs="Arial"/>
              </w:rPr>
              <w:t xml:space="preserve">ndependent </w:t>
            </w:r>
            <w:r w:rsidR="002B0BD7">
              <w:rPr>
                <w:rFonts w:ascii="Arial" w:hAnsi="Arial" w:cs="Arial"/>
              </w:rPr>
              <w:t>L</w:t>
            </w:r>
            <w:r w:rsidRPr="005F6A34">
              <w:rPr>
                <w:rFonts w:ascii="Arial" w:hAnsi="Arial" w:cs="Arial"/>
              </w:rPr>
              <w:t xml:space="preserve">iving is an outline of IL activities, priorities, and funding </w:t>
            </w:r>
            <w:proofErr w:type="gramStart"/>
            <w:r w:rsidRPr="005F6A34">
              <w:rPr>
                <w:rFonts w:ascii="Arial" w:hAnsi="Arial" w:cs="Arial"/>
              </w:rPr>
              <w:t>in a given</w:t>
            </w:r>
            <w:proofErr w:type="gramEnd"/>
            <w:r w:rsidRPr="005F6A34">
              <w:rPr>
                <w:rFonts w:ascii="Arial" w:hAnsi="Arial" w:cs="Arial"/>
              </w:rPr>
              <w:t xml:space="preserve"> state. </w:t>
            </w:r>
          </w:p>
        </w:tc>
        <w:tc>
          <w:tcPr>
            <w:tcW w:w="3779" w:type="dxa"/>
          </w:tcPr>
          <w:p w14:paraId="49EB3F79" w14:textId="2F971EC8" w:rsidR="00772F15" w:rsidRPr="005F6A34" w:rsidRDefault="00772F15" w:rsidP="00E33E53">
            <w:pPr>
              <w:rPr>
                <w:rFonts w:ascii="Arial" w:hAnsi="Arial" w:cs="Arial"/>
              </w:rPr>
            </w:pPr>
            <w:r w:rsidRPr="005F6A34">
              <w:rPr>
                <w:rFonts w:ascii="Arial" w:hAnsi="Arial" w:cs="Arial"/>
              </w:rPr>
              <w:t>Reviewed and updated every 3 years unless there is a need for an amendment.</w:t>
            </w:r>
          </w:p>
        </w:tc>
      </w:tr>
      <w:tr w:rsidR="00772F15" w:rsidRPr="005F6A34" w14:paraId="57F6BC2E" w14:textId="77777777" w:rsidTr="0024239F">
        <w:tc>
          <w:tcPr>
            <w:tcW w:w="2116" w:type="dxa"/>
          </w:tcPr>
          <w:p w14:paraId="43058914" w14:textId="12D7848D" w:rsidR="00772F15" w:rsidRPr="005F6A34" w:rsidRDefault="00012B79" w:rsidP="00E33E53">
            <w:pPr>
              <w:rPr>
                <w:rFonts w:ascii="Arial" w:hAnsi="Arial" w:cs="Arial"/>
              </w:rPr>
            </w:pPr>
            <w:bookmarkStart w:id="1" w:name="_Hlk191471645"/>
            <w:r w:rsidRPr="005F6A34">
              <w:rPr>
                <w:rFonts w:ascii="Arial" w:hAnsi="Arial" w:cs="Arial"/>
              </w:rPr>
              <w:t>Rate of Award Fund Drawdown</w:t>
            </w:r>
            <w:r w:rsidR="00772F15" w:rsidRPr="005F6A34">
              <w:rPr>
                <w:rFonts w:ascii="Arial" w:hAnsi="Arial" w:cs="Arial"/>
              </w:rPr>
              <w:t xml:space="preserve"> </w:t>
            </w:r>
          </w:p>
        </w:tc>
        <w:tc>
          <w:tcPr>
            <w:tcW w:w="2971" w:type="dxa"/>
          </w:tcPr>
          <w:p w14:paraId="4668993C" w14:textId="309FD096" w:rsidR="00772F15" w:rsidRPr="005F6A34" w:rsidRDefault="00012B79" w:rsidP="00E33E53">
            <w:pPr>
              <w:rPr>
                <w:rFonts w:ascii="Arial" w:hAnsi="Arial" w:cs="Arial"/>
              </w:rPr>
            </w:pPr>
            <w:r w:rsidRPr="005F6A34">
              <w:rPr>
                <w:rFonts w:ascii="Arial" w:hAnsi="Arial" w:cs="Arial"/>
              </w:rPr>
              <w:t>ACL reviews the award drawdown amount to assess the draw rate relative the time elapsed in the project period. ACL also reviews the draw pattern to see if there are significant deviations from prior years.</w:t>
            </w:r>
          </w:p>
        </w:tc>
        <w:tc>
          <w:tcPr>
            <w:tcW w:w="3779" w:type="dxa"/>
          </w:tcPr>
          <w:p w14:paraId="35CB6BE3" w14:textId="5886D18B" w:rsidR="00772F15" w:rsidRPr="005F6A34" w:rsidRDefault="008B7008" w:rsidP="00E33E53">
            <w:pPr>
              <w:rPr>
                <w:rFonts w:ascii="Arial" w:hAnsi="Arial" w:cs="Arial"/>
              </w:rPr>
            </w:pPr>
            <w:r>
              <w:rPr>
                <w:rFonts w:ascii="Arial" w:hAnsi="Arial" w:cs="Arial"/>
              </w:rPr>
              <w:t>Periodically throughout the year</w:t>
            </w:r>
            <w:r w:rsidR="002B0BD7">
              <w:rPr>
                <w:rFonts w:ascii="Arial" w:hAnsi="Arial" w:cs="Arial"/>
              </w:rPr>
              <w:t>.</w:t>
            </w:r>
          </w:p>
        </w:tc>
      </w:tr>
      <w:tr w:rsidR="00772F15" w:rsidRPr="005F6A34" w14:paraId="097979FB" w14:textId="77777777" w:rsidTr="0024239F">
        <w:tc>
          <w:tcPr>
            <w:tcW w:w="2116" w:type="dxa"/>
          </w:tcPr>
          <w:p w14:paraId="74B084D3" w14:textId="01A44F2E" w:rsidR="00772F15" w:rsidRPr="005F6A34" w:rsidRDefault="00772F15" w:rsidP="00E33E53">
            <w:pPr>
              <w:rPr>
                <w:rFonts w:ascii="Arial" w:hAnsi="Arial" w:cs="Arial"/>
              </w:rPr>
            </w:pPr>
            <w:r w:rsidRPr="005F6A34">
              <w:rPr>
                <w:rFonts w:ascii="Arial" w:hAnsi="Arial" w:cs="Arial"/>
              </w:rPr>
              <w:t>Single audits</w:t>
            </w:r>
          </w:p>
        </w:tc>
        <w:tc>
          <w:tcPr>
            <w:tcW w:w="2971" w:type="dxa"/>
          </w:tcPr>
          <w:p w14:paraId="32E49567" w14:textId="53C3438D" w:rsidR="00772F15" w:rsidRPr="005F6A34" w:rsidRDefault="00012B79" w:rsidP="00E33E53">
            <w:pPr>
              <w:rPr>
                <w:rFonts w:ascii="Arial" w:hAnsi="Arial" w:cs="Arial"/>
              </w:rPr>
            </w:pPr>
            <w:r w:rsidRPr="005F6A34">
              <w:rPr>
                <w:rFonts w:ascii="Arial" w:hAnsi="Arial" w:cs="Arial"/>
              </w:rPr>
              <w:t>ACL checks the Federal Audit Clearinghouse for grantee single audit report submissions and will follow-up with grantees if there are repetitive findings. ACL (as applicable) takes action to reconcile single audit report findings per requirements</w:t>
            </w:r>
            <w:r w:rsidR="00C50661">
              <w:rPr>
                <w:rFonts w:ascii="Arial" w:hAnsi="Arial" w:cs="Arial"/>
              </w:rPr>
              <w:t>,</w:t>
            </w:r>
            <w:r w:rsidRPr="005F6A34">
              <w:rPr>
                <w:rFonts w:ascii="Arial" w:hAnsi="Arial" w:cs="Arial"/>
              </w:rPr>
              <w:t xml:space="preserve"> </w:t>
            </w:r>
            <w:hyperlink r:id="rId11" w:history="1">
              <w:r w:rsidRPr="0019544F">
                <w:rPr>
                  <w:rStyle w:val="Hyperlink"/>
                  <w:rFonts w:ascii="Arial" w:hAnsi="Arial" w:cs="Arial"/>
                </w:rPr>
                <w:t>45 CFR 75.513</w:t>
              </w:r>
            </w:hyperlink>
            <w:r w:rsidRPr="0019544F">
              <w:rPr>
                <w:rFonts w:ascii="Arial" w:hAnsi="Arial" w:cs="Arial"/>
              </w:rPr>
              <w:t>.</w:t>
            </w:r>
          </w:p>
        </w:tc>
        <w:tc>
          <w:tcPr>
            <w:tcW w:w="3779" w:type="dxa"/>
          </w:tcPr>
          <w:p w14:paraId="064468EA" w14:textId="482F5D16" w:rsidR="00772F15" w:rsidRPr="005F6A34" w:rsidRDefault="008B7008" w:rsidP="00E33E53">
            <w:pPr>
              <w:rPr>
                <w:rFonts w:ascii="Arial" w:hAnsi="Arial" w:cs="Arial"/>
              </w:rPr>
            </w:pPr>
            <w:r>
              <w:rPr>
                <w:rFonts w:ascii="Arial" w:hAnsi="Arial" w:cs="Arial"/>
              </w:rPr>
              <w:t>Periodically throughout the year</w:t>
            </w:r>
            <w:r w:rsidR="002B0BD7">
              <w:rPr>
                <w:rFonts w:ascii="Arial" w:hAnsi="Arial" w:cs="Arial"/>
              </w:rPr>
              <w:t>.</w:t>
            </w:r>
          </w:p>
        </w:tc>
      </w:tr>
      <w:tr w:rsidR="00772F15" w:rsidRPr="005F6A34" w14:paraId="03AB85EA" w14:textId="77777777" w:rsidTr="0024239F">
        <w:tc>
          <w:tcPr>
            <w:tcW w:w="2116" w:type="dxa"/>
          </w:tcPr>
          <w:p w14:paraId="598F3B3D" w14:textId="02A87E78" w:rsidR="00772F15" w:rsidRPr="005F6A34" w:rsidRDefault="00012B79" w:rsidP="00E33E53">
            <w:pPr>
              <w:rPr>
                <w:rFonts w:ascii="Arial" w:hAnsi="Arial" w:cs="Arial"/>
              </w:rPr>
            </w:pPr>
            <w:r w:rsidRPr="005F6A34">
              <w:rPr>
                <w:rFonts w:ascii="Arial" w:hAnsi="Arial" w:cs="Arial"/>
              </w:rPr>
              <w:t>Nonprofit Status Check</w:t>
            </w:r>
          </w:p>
        </w:tc>
        <w:tc>
          <w:tcPr>
            <w:tcW w:w="2971" w:type="dxa"/>
          </w:tcPr>
          <w:p w14:paraId="66E077F0" w14:textId="15087E4A" w:rsidR="00772F15" w:rsidRPr="005F6A34" w:rsidRDefault="00012B79" w:rsidP="00E33E53">
            <w:pPr>
              <w:rPr>
                <w:rFonts w:ascii="Arial" w:hAnsi="Arial" w:cs="Arial"/>
              </w:rPr>
            </w:pPr>
            <w:r w:rsidRPr="005F6A34">
              <w:rPr>
                <w:rFonts w:ascii="Arial" w:hAnsi="Arial" w:cs="Arial"/>
              </w:rPr>
              <w:t>ACL checks the IRS database for IRS revocations at least annually to ensure that all CILs have an active nonprofit status.</w:t>
            </w:r>
          </w:p>
        </w:tc>
        <w:tc>
          <w:tcPr>
            <w:tcW w:w="3779" w:type="dxa"/>
          </w:tcPr>
          <w:p w14:paraId="4C6617CA" w14:textId="1CA53C99" w:rsidR="00772F15" w:rsidRPr="005F6A34" w:rsidRDefault="005D5241" w:rsidP="00E33E53">
            <w:pPr>
              <w:rPr>
                <w:rFonts w:ascii="Arial" w:hAnsi="Arial" w:cs="Arial"/>
              </w:rPr>
            </w:pPr>
            <w:r>
              <w:rPr>
                <w:rFonts w:ascii="Arial" w:hAnsi="Arial" w:cs="Arial"/>
              </w:rPr>
              <w:t>Annually,</w:t>
            </w:r>
            <w:r w:rsidR="008B7008">
              <w:rPr>
                <w:rFonts w:ascii="Arial" w:hAnsi="Arial" w:cs="Arial"/>
              </w:rPr>
              <w:t xml:space="preserve"> and included during targeted </w:t>
            </w:r>
            <w:r w:rsidR="00C50661">
              <w:rPr>
                <w:rFonts w:ascii="Arial" w:hAnsi="Arial" w:cs="Arial"/>
              </w:rPr>
              <w:t>fiscal</w:t>
            </w:r>
            <w:r>
              <w:rPr>
                <w:rFonts w:ascii="Arial" w:hAnsi="Arial" w:cs="Arial"/>
              </w:rPr>
              <w:t xml:space="preserve"> and </w:t>
            </w:r>
            <w:r w:rsidR="00F66E9F">
              <w:rPr>
                <w:rFonts w:ascii="Arial" w:hAnsi="Arial" w:cs="Arial"/>
              </w:rPr>
              <w:t>comprehensive reviews</w:t>
            </w:r>
            <w:r w:rsidR="008B7008">
              <w:rPr>
                <w:rFonts w:ascii="Arial" w:hAnsi="Arial" w:cs="Arial"/>
              </w:rPr>
              <w:t>.</w:t>
            </w:r>
          </w:p>
        </w:tc>
      </w:tr>
    </w:tbl>
    <w:bookmarkEnd w:id="1"/>
    <w:p w14:paraId="067CBC18" w14:textId="2C50CEA7" w:rsidR="00920B5E" w:rsidRPr="000B03BF" w:rsidRDefault="00920B5E" w:rsidP="000B03BF">
      <w:pPr>
        <w:pStyle w:val="Heading2"/>
        <w:spacing w:before="240" w:after="120" w:line="240" w:lineRule="auto"/>
        <w:rPr>
          <w:rStyle w:val="normaltextrun"/>
          <w:rFonts w:ascii="Arial" w:hAnsi="Arial" w:cs="Arial"/>
          <w:b/>
          <w:bCs/>
          <w:color w:val="4472C4" w:themeColor="accent1"/>
          <w:sz w:val="24"/>
          <w:szCs w:val="24"/>
        </w:rPr>
      </w:pPr>
      <w:r w:rsidRPr="000B03BF">
        <w:rPr>
          <w:rStyle w:val="normaltextrun"/>
          <w:rFonts w:ascii="Arial" w:hAnsi="Arial" w:cs="Arial"/>
          <w:b/>
          <w:bCs/>
          <w:color w:val="4472C4" w:themeColor="accent1"/>
          <w:sz w:val="24"/>
          <w:szCs w:val="24"/>
        </w:rPr>
        <w:t>Tool</w:t>
      </w:r>
      <w:r w:rsidR="00E33E53" w:rsidRPr="000B03BF">
        <w:rPr>
          <w:rStyle w:val="normaltextrun"/>
          <w:rFonts w:ascii="Arial" w:hAnsi="Arial" w:cs="Arial"/>
          <w:b/>
          <w:bCs/>
          <w:color w:val="4472C4" w:themeColor="accent1"/>
          <w:sz w:val="24"/>
          <w:szCs w:val="24"/>
        </w:rPr>
        <w:t>kit</w:t>
      </w:r>
    </w:p>
    <w:p w14:paraId="7678CD7B" w14:textId="632D4376" w:rsidR="00E94D1D" w:rsidRPr="00C50661" w:rsidRDefault="00E94D1D" w:rsidP="002B0BD7">
      <w:pPr>
        <w:spacing w:after="120" w:line="240" w:lineRule="auto"/>
        <w:rPr>
          <w:rStyle w:val="Hyperlink"/>
          <w:rFonts w:ascii="Arial" w:hAnsi="Arial" w:cs="Arial"/>
          <w:color w:val="auto"/>
          <w:u w:val="none"/>
        </w:rPr>
      </w:pPr>
      <w:r w:rsidRPr="00C50661">
        <w:rPr>
          <w:rFonts w:ascii="Arial" w:hAnsi="Arial" w:cs="Arial"/>
        </w:rPr>
        <w:t>CIL Resources</w:t>
      </w:r>
      <w:r w:rsidR="00E33E53" w:rsidRPr="00C50661">
        <w:rPr>
          <w:rFonts w:ascii="Arial" w:hAnsi="Arial" w:cs="Arial"/>
        </w:rPr>
        <w:t>:</w:t>
      </w:r>
      <w:r w:rsidRPr="00C50661">
        <w:rPr>
          <w:rFonts w:ascii="Arial" w:hAnsi="Arial" w:cs="Arial"/>
        </w:rPr>
        <w:t xml:space="preserve"> </w:t>
      </w:r>
      <w:hyperlink r:id="rId12" w:history="1">
        <w:r w:rsidRPr="00C50661">
          <w:rPr>
            <w:rStyle w:val="Hyperlink"/>
            <w:rFonts w:ascii="Arial" w:hAnsi="Arial" w:cs="Arial"/>
          </w:rPr>
          <w:t>Centers for Independent Living | ACL Administration for Community Living</w:t>
        </w:r>
      </w:hyperlink>
    </w:p>
    <w:p w14:paraId="78BAD248" w14:textId="116092BE" w:rsidR="00E33E53" w:rsidRPr="00C50661" w:rsidRDefault="00E33E53" w:rsidP="002B0BD7">
      <w:pPr>
        <w:spacing w:after="120" w:line="240" w:lineRule="auto"/>
        <w:rPr>
          <w:rFonts w:ascii="Arial" w:hAnsi="Arial" w:cs="Arial"/>
        </w:rPr>
      </w:pPr>
      <w:r w:rsidRPr="00C50661">
        <w:rPr>
          <w:rStyle w:val="Hyperlink"/>
          <w:rFonts w:ascii="Arial" w:hAnsi="Arial" w:cs="Arial"/>
          <w:color w:val="auto"/>
          <w:u w:val="none"/>
        </w:rPr>
        <w:t xml:space="preserve">CIL Self- Assessment Tool: </w:t>
      </w:r>
      <w:r w:rsidR="00C50661" w:rsidRPr="00712409">
        <w:rPr>
          <w:rFonts w:ascii="Arial" w:hAnsi="Arial" w:cs="Arial"/>
        </w:rPr>
        <w:t>CIL Evaluation Tool (Section 725 CIL Standards and Assurances)</w:t>
      </w:r>
    </w:p>
    <w:p w14:paraId="16252ECF" w14:textId="06C91FC0" w:rsidR="00920B5E" w:rsidRPr="00C50661" w:rsidRDefault="00E33E53" w:rsidP="002B0BD7">
      <w:pPr>
        <w:spacing w:after="120" w:line="240" w:lineRule="auto"/>
        <w:rPr>
          <w:rFonts w:ascii="Arial" w:hAnsi="Arial" w:cs="Arial"/>
        </w:rPr>
      </w:pPr>
      <w:r w:rsidRPr="00C50661">
        <w:rPr>
          <w:rFonts w:ascii="Arial" w:hAnsi="Arial" w:cs="Arial"/>
        </w:rPr>
        <w:t xml:space="preserve">Fiscal Information: </w:t>
      </w:r>
      <w:hyperlink r:id="rId13" w:history="1">
        <w:r w:rsidR="00C56B8B" w:rsidRPr="00C50661">
          <w:rPr>
            <w:rStyle w:val="Hyperlink"/>
            <w:rFonts w:ascii="Arial" w:hAnsi="Arial" w:cs="Arial"/>
          </w:rPr>
          <w:t>Fiscal Information for IL Programs | ACL Administration for Community Living</w:t>
        </w:r>
      </w:hyperlink>
    </w:p>
    <w:p w14:paraId="706EE088" w14:textId="7E6A27DE" w:rsidR="00C205F6" w:rsidRDefault="00FF425F" w:rsidP="002B0BD7">
      <w:pPr>
        <w:spacing w:after="120" w:line="240" w:lineRule="auto"/>
        <w:rPr>
          <w:rStyle w:val="Hyperlink"/>
          <w:rFonts w:ascii="Arial" w:hAnsi="Arial" w:cs="Arial"/>
        </w:rPr>
      </w:pPr>
      <w:r w:rsidRPr="00C50661">
        <w:rPr>
          <w:rFonts w:ascii="Arial" w:hAnsi="Arial" w:cs="Arial"/>
        </w:rPr>
        <w:t xml:space="preserve">FFR Checklist: </w:t>
      </w:r>
      <w:hyperlink r:id="rId14" w:history="1">
        <w:r w:rsidRPr="00C50661">
          <w:rPr>
            <w:rStyle w:val="Hyperlink"/>
            <w:rFonts w:ascii="Arial" w:hAnsi="Arial" w:cs="Arial"/>
          </w:rPr>
          <w:t>ACL IL Grant Programs Fiscal Review Checklist - Published 12.10.2024.docx</w:t>
        </w:r>
      </w:hyperlink>
    </w:p>
    <w:p w14:paraId="0F2DE482" w14:textId="77777777" w:rsidR="004A241C" w:rsidRDefault="002B0BD7" w:rsidP="002B0BD7">
      <w:pPr>
        <w:spacing w:after="120" w:line="240" w:lineRule="auto"/>
        <w:rPr>
          <w:rStyle w:val="Hyperlink"/>
          <w:rFonts w:ascii="Arial" w:hAnsi="Arial" w:cs="Arial"/>
        </w:rPr>
      </w:pPr>
      <w:r>
        <w:rPr>
          <w:rStyle w:val="Hyperlink"/>
          <w:rFonts w:ascii="Arial" w:hAnsi="Arial" w:cs="Arial"/>
          <w:color w:val="auto"/>
          <w:u w:val="none"/>
        </w:rPr>
        <w:t xml:space="preserve">Annual </w:t>
      </w:r>
      <w:r w:rsidR="005D5241" w:rsidRPr="005D5241">
        <w:rPr>
          <w:rStyle w:val="Hyperlink"/>
          <w:rFonts w:ascii="Arial" w:hAnsi="Arial" w:cs="Arial"/>
          <w:color w:val="auto"/>
          <w:u w:val="none"/>
        </w:rPr>
        <w:t>CIL and ILS PPR Data</w:t>
      </w:r>
      <w:r w:rsidR="005D5241" w:rsidRPr="005D5241">
        <w:rPr>
          <w:rStyle w:val="Hyperlink"/>
          <w:rFonts w:ascii="Arial" w:hAnsi="Arial" w:cs="Arial"/>
          <w:u w:val="none"/>
        </w:rPr>
        <w:t xml:space="preserve">: </w:t>
      </w:r>
      <w:r w:rsidR="005D5241">
        <w:rPr>
          <w:rStyle w:val="Hyperlink"/>
          <w:rFonts w:ascii="Arial" w:hAnsi="Arial" w:cs="Arial"/>
        </w:rPr>
        <w:t xml:space="preserve">Annual Performance </w:t>
      </w:r>
      <w:hyperlink r:id="rId15" w:history="1">
        <w:r w:rsidR="005D5241" w:rsidRPr="005D5241">
          <w:rPr>
            <w:rStyle w:val="Hyperlink"/>
            <w:rFonts w:ascii="Arial" w:hAnsi="Arial" w:cs="Arial"/>
          </w:rPr>
          <w:t>Data</w:t>
        </w:r>
      </w:hyperlink>
      <w:r w:rsidR="005D5241">
        <w:rPr>
          <w:rStyle w:val="Hyperlink"/>
          <w:rFonts w:ascii="Arial" w:hAnsi="Arial" w:cs="Arial"/>
        </w:rPr>
        <w:t xml:space="preserve"> &amp; Outcomes:</w:t>
      </w:r>
    </w:p>
    <w:p w14:paraId="5F944798" w14:textId="68B2388F" w:rsidR="005D5241" w:rsidRPr="00565BCC" w:rsidRDefault="004A241C" w:rsidP="00223718">
      <w:pPr>
        <w:spacing w:after="120" w:line="240" w:lineRule="auto"/>
        <w:jc w:val="right"/>
        <w:rPr>
          <w:rFonts w:ascii="Arial" w:hAnsi="Arial" w:cs="Arial"/>
        </w:rPr>
      </w:pPr>
      <w:r w:rsidRPr="004A241C">
        <w:rPr>
          <w:rStyle w:val="Hyperlink"/>
          <w:rFonts w:ascii="Arial" w:hAnsi="Arial" w:cs="Arial"/>
          <w:color w:val="auto"/>
          <w:sz w:val="18"/>
          <w:szCs w:val="18"/>
          <w:u w:val="none"/>
        </w:rPr>
        <w:t>Created 3.18.25</w:t>
      </w:r>
      <w:r w:rsidR="005D5241">
        <w:rPr>
          <w:rStyle w:val="Hyperlink"/>
          <w:rFonts w:ascii="Arial" w:hAnsi="Arial" w:cs="Arial"/>
        </w:rPr>
        <w:t xml:space="preserve"> </w:t>
      </w:r>
    </w:p>
    <w:sectPr w:rsidR="005D5241" w:rsidRPr="00565BC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5A53" w14:textId="77777777" w:rsidR="002F711D" w:rsidRDefault="002F711D" w:rsidP="00D4001B">
      <w:pPr>
        <w:spacing w:after="0" w:line="240" w:lineRule="auto"/>
      </w:pPr>
      <w:r>
        <w:separator/>
      </w:r>
    </w:p>
  </w:endnote>
  <w:endnote w:type="continuationSeparator" w:id="0">
    <w:p w14:paraId="2EEAE687" w14:textId="77777777" w:rsidR="002F711D" w:rsidRDefault="002F711D" w:rsidP="00D4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AC79" w14:textId="77777777" w:rsidR="002F711D" w:rsidRDefault="002F711D" w:rsidP="00D4001B">
      <w:pPr>
        <w:spacing w:after="0" w:line="240" w:lineRule="auto"/>
      </w:pPr>
      <w:r>
        <w:separator/>
      </w:r>
    </w:p>
  </w:footnote>
  <w:footnote w:type="continuationSeparator" w:id="0">
    <w:p w14:paraId="0DF70570" w14:textId="77777777" w:rsidR="002F711D" w:rsidRDefault="002F711D" w:rsidP="00D40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0C23" w14:textId="00D21CB7" w:rsidR="00931212" w:rsidRDefault="00931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C80"/>
    <w:multiLevelType w:val="multilevel"/>
    <w:tmpl w:val="892E4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19B4"/>
    <w:multiLevelType w:val="multilevel"/>
    <w:tmpl w:val="81EA8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F7DCA"/>
    <w:multiLevelType w:val="multilevel"/>
    <w:tmpl w:val="EF7E3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423AC"/>
    <w:multiLevelType w:val="hybridMultilevel"/>
    <w:tmpl w:val="DF5A2EEC"/>
    <w:lvl w:ilvl="0" w:tplc="DF3A68A4">
      <w:numFmt w:val="bullet"/>
      <w:lvlText w:val=""/>
      <w:lvlJc w:val="left"/>
      <w:pPr>
        <w:ind w:left="475" w:hanging="360"/>
      </w:pPr>
      <w:rPr>
        <w:rFonts w:ascii="Symbol" w:eastAsia="Calibri" w:hAnsi="Symbol" w:cs="Arial" w:hint="default"/>
        <w:b/>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2B68668D"/>
    <w:multiLevelType w:val="multilevel"/>
    <w:tmpl w:val="F15A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F0AC3"/>
    <w:multiLevelType w:val="multilevel"/>
    <w:tmpl w:val="15501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3366B"/>
    <w:multiLevelType w:val="multilevel"/>
    <w:tmpl w:val="E8FED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17F41"/>
    <w:multiLevelType w:val="multilevel"/>
    <w:tmpl w:val="78164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8859EC"/>
    <w:multiLevelType w:val="multilevel"/>
    <w:tmpl w:val="ECCA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783956"/>
    <w:multiLevelType w:val="hybridMultilevel"/>
    <w:tmpl w:val="9AF4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04B6E"/>
    <w:multiLevelType w:val="multilevel"/>
    <w:tmpl w:val="F704E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D2A44"/>
    <w:multiLevelType w:val="hybridMultilevel"/>
    <w:tmpl w:val="D53C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24D8C"/>
    <w:multiLevelType w:val="hybridMultilevel"/>
    <w:tmpl w:val="4C12CDBE"/>
    <w:lvl w:ilvl="0" w:tplc="F27E8E3E">
      <w:numFmt w:val="bullet"/>
      <w:lvlText w:val=""/>
      <w:lvlJc w:val="left"/>
      <w:pPr>
        <w:ind w:left="480" w:hanging="360"/>
      </w:pPr>
      <w:rPr>
        <w:rFonts w:ascii="Symbol" w:eastAsia="Calibri" w:hAnsi="Symbol"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71AB7098"/>
    <w:multiLevelType w:val="multilevel"/>
    <w:tmpl w:val="924E5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966085"/>
    <w:multiLevelType w:val="hybridMultilevel"/>
    <w:tmpl w:val="B6CC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242264">
    <w:abstractNumId w:val="12"/>
  </w:num>
  <w:num w:numId="2" w16cid:durableId="1419448539">
    <w:abstractNumId w:val="14"/>
  </w:num>
  <w:num w:numId="3" w16cid:durableId="1886720582">
    <w:abstractNumId w:val="9"/>
  </w:num>
  <w:num w:numId="4" w16cid:durableId="53241455">
    <w:abstractNumId w:val="10"/>
  </w:num>
  <w:num w:numId="5" w16cid:durableId="1792044423">
    <w:abstractNumId w:val="5"/>
  </w:num>
  <w:num w:numId="6" w16cid:durableId="750204362">
    <w:abstractNumId w:val="0"/>
  </w:num>
  <w:num w:numId="7" w16cid:durableId="1060176063">
    <w:abstractNumId w:val="13"/>
  </w:num>
  <w:num w:numId="8" w16cid:durableId="1093404144">
    <w:abstractNumId w:val="4"/>
  </w:num>
  <w:num w:numId="9" w16cid:durableId="419639275">
    <w:abstractNumId w:val="8"/>
  </w:num>
  <w:num w:numId="10" w16cid:durableId="410590883">
    <w:abstractNumId w:val="7"/>
  </w:num>
  <w:num w:numId="11" w16cid:durableId="237981465">
    <w:abstractNumId w:val="1"/>
  </w:num>
  <w:num w:numId="12" w16cid:durableId="1202667277">
    <w:abstractNumId w:val="2"/>
  </w:num>
  <w:num w:numId="13" w16cid:durableId="310981871">
    <w:abstractNumId w:val="6"/>
  </w:num>
  <w:num w:numId="14" w16cid:durableId="453793166">
    <w:abstractNumId w:val="3"/>
  </w:num>
  <w:num w:numId="15" w16cid:durableId="1967737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5E"/>
    <w:rsid w:val="00012B79"/>
    <w:rsid w:val="000402E9"/>
    <w:rsid w:val="00056B67"/>
    <w:rsid w:val="000704C9"/>
    <w:rsid w:val="00075D29"/>
    <w:rsid w:val="00082130"/>
    <w:rsid w:val="000A6655"/>
    <w:rsid w:val="000B03BF"/>
    <w:rsid w:val="0010330B"/>
    <w:rsid w:val="00110C18"/>
    <w:rsid w:val="00112457"/>
    <w:rsid w:val="00114808"/>
    <w:rsid w:val="00114EA5"/>
    <w:rsid w:val="001150A1"/>
    <w:rsid w:val="00125D46"/>
    <w:rsid w:val="00133930"/>
    <w:rsid w:val="0014476F"/>
    <w:rsid w:val="001775B2"/>
    <w:rsid w:val="0018056C"/>
    <w:rsid w:val="0019544F"/>
    <w:rsid w:val="001B493E"/>
    <w:rsid w:val="001C7340"/>
    <w:rsid w:val="002235E6"/>
    <w:rsid w:val="00223718"/>
    <w:rsid w:val="00231472"/>
    <w:rsid w:val="0023249E"/>
    <w:rsid w:val="00233000"/>
    <w:rsid w:val="0024239F"/>
    <w:rsid w:val="00255476"/>
    <w:rsid w:val="002770B2"/>
    <w:rsid w:val="00285C39"/>
    <w:rsid w:val="0029169D"/>
    <w:rsid w:val="002A53FD"/>
    <w:rsid w:val="002B0BD7"/>
    <w:rsid w:val="002B0DC1"/>
    <w:rsid w:val="002B2FC4"/>
    <w:rsid w:val="002B7FB7"/>
    <w:rsid w:val="002C299A"/>
    <w:rsid w:val="002F711D"/>
    <w:rsid w:val="00310084"/>
    <w:rsid w:val="003155F1"/>
    <w:rsid w:val="003340E7"/>
    <w:rsid w:val="00353D46"/>
    <w:rsid w:val="00371CC2"/>
    <w:rsid w:val="003900FF"/>
    <w:rsid w:val="003D13EA"/>
    <w:rsid w:val="003D140A"/>
    <w:rsid w:val="003E5B15"/>
    <w:rsid w:val="003F3383"/>
    <w:rsid w:val="003F786C"/>
    <w:rsid w:val="00411205"/>
    <w:rsid w:val="00427942"/>
    <w:rsid w:val="00430FFB"/>
    <w:rsid w:val="004439EB"/>
    <w:rsid w:val="00443C97"/>
    <w:rsid w:val="00450976"/>
    <w:rsid w:val="00467F88"/>
    <w:rsid w:val="004707E7"/>
    <w:rsid w:val="00474B9A"/>
    <w:rsid w:val="00477852"/>
    <w:rsid w:val="00493B3B"/>
    <w:rsid w:val="00494777"/>
    <w:rsid w:val="004A241C"/>
    <w:rsid w:val="004B7B9C"/>
    <w:rsid w:val="004D2D4B"/>
    <w:rsid w:val="004E191B"/>
    <w:rsid w:val="0051134A"/>
    <w:rsid w:val="00514D93"/>
    <w:rsid w:val="00522011"/>
    <w:rsid w:val="00522F04"/>
    <w:rsid w:val="005421D0"/>
    <w:rsid w:val="00547A83"/>
    <w:rsid w:val="005578BE"/>
    <w:rsid w:val="00564A50"/>
    <w:rsid w:val="005653B6"/>
    <w:rsid w:val="00565BCC"/>
    <w:rsid w:val="00587118"/>
    <w:rsid w:val="0059030F"/>
    <w:rsid w:val="005A6070"/>
    <w:rsid w:val="005C178D"/>
    <w:rsid w:val="005D5241"/>
    <w:rsid w:val="005F6A34"/>
    <w:rsid w:val="00647E6E"/>
    <w:rsid w:val="006533B9"/>
    <w:rsid w:val="00695B03"/>
    <w:rsid w:val="00696107"/>
    <w:rsid w:val="006D6A24"/>
    <w:rsid w:val="006F031A"/>
    <w:rsid w:val="00706832"/>
    <w:rsid w:val="0071188D"/>
    <w:rsid w:val="00712409"/>
    <w:rsid w:val="00715927"/>
    <w:rsid w:val="0071755D"/>
    <w:rsid w:val="00725D54"/>
    <w:rsid w:val="00727DF4"/>
    <w:rsid w:val="0073777C"/>
    <w:rsid w:val="007701A6"/>
    <w:rsid w:val="00772F15"/>
    <w:rsid w:val="007A4DF4"/>
    <w:rsid w:val="007D4F6E"/>
    <w:rsid w:val="007E55EF"/>
    <w:rsid w:val="008123D2"/>
    <w:rsid w:val="00814806"/>
    <w:rsid w:val="0083124D"/>
    <w:rsid w:val="00863A31"/>
    <w:rsid w:val="008707B4"/>
    <w:rsid w:val="00871126"/>
    <w:rsid w:val="0088663E"/>
    <w:rsid w:val="008B5DC8"/>
    <w:rsid w:val="008B7008"/>
    <w:rsid w:val="008F2CEB"/>
    <w:rsid w:val="009021A9"/>
    <w:rsid w:val="0091777E"/>
    <w:rsid w:val="00920B5E"/>
    <w:rsid w:val="00931212"/>
    <w:rsid w:val="009330B8"/>
    <w:rsid w:val="00973657"/>
    <w:rsid w:val="009A178E"/>
    <w:rsid w:val="009A543B"/>
    <w:rsid w:val="009B466F"/>
    <w:rsid w:val="009C4949"/>
    <w:rsid w:val="009E1002"/>
    <w:rsid w:val="009E4665"/>
    <w:rsid w:val="009F478D"/>
    <w:rsid w:val="00A2412C"/>
    <w:rsid w:val="00A474EF"/>
    <w:rsid w:val="00A525BC"/>
    <w:rsid w:val="00A53795"/>
    <w:rsid w:val="00A608A3"/>
    <w:rsid w:val="00A6127C"/>
    <w:rsid w:val="00A90B24"/>
    <w:rsid w:val="00AA36FA"/>
    <w:rsid w:val="00AA5167"/>
    <w:rsid w:val="00AC730A"/>
    <w:rsid w:val="00AE23D3"/>
    <w:rsid w:val="00B47AC4"/>
    <w:rsid w:val="00B532BC"/>
    <w:rsid w:val="00B73282"/>
    <w:rsid w:val="00B835AA"/>
    <w:rsid w:val="00BA7ACC"/>
    <w:rsid w:val="00BB76AB"/>
    <w:rsid w:val="00BD3566"/>
    <w:rsid w:val="00BD38FC"/>
    <w:rsid w:val="00BF10F6"/>
    <w:rsid w:val="00C158CF"/>
    <w:rsid w:val="00C16AB2"/>
    <w:rsid w:val="00C205F6"/>
    <w:rsid w:val="00C50661"/>
    <w:rsid w:val="00C551BC"/>
    <w:rsid w:val="00C56B8B"/>
    <w:rsid w:val="00C60CDE"/>
    <w:rsid w:val="00C620BA"/>
    <w:rsid w:val="00C6515E"/>
    <w:rsid w:val="00C8092F"/>
    <w:rsid w:val="00CA7C19"/>
    <w:rsid w:val="00CB46CB"/>
    <w:rsid w:val="00CB5F9B"/>
    <w:rsid w:val="00CD058A"/>
    <w:rsid w:val="00CD0BDA"/>
    <w:rsid w:val="00CD6D16"/>
    <w:rsid w:val="00CE06B7"/>
    <w:rsid w:val="00CE4FE7"/>
    <w:rsid w:val="00D02005"/>
    <w:rsid w:val="00D20FEF"/>
    <w:rsid w:val="00D4001B"/>
    <w:rsid w:val="00D41716"/>
    <w:rsid w:val="00D85733"/>
    <w:rsid w:val="00D96018"/>
    <w:rsid w:val="00DA4ECE"/>
    <w:rsid w:val="00E05FFD"/>
    <w:rsid w:val="00E17662"/>
    <w:rsid w:val="00E21861"/>
    <w:rsid w:val="00E2674F"/>
    <w:rsid w:val="00E33E53"/>
    <w:rsid w:val="00E75C2B"/>
    <w:rsid w:val="00E825A7"/>
    <w:rsid w:val="00E83D3B"/>
    <w:rsid w:val="00E94D1D"/>
    <w:rsid w:val="00EA1935"/>
    <w:rsid w:val="00EC189D"/>
    <w:rsid w:val="00EC3F03"/>
    <w:rsid w:val="00ED064A"/>
    <w:rsid w:val="00ED6665"/>
    <w:rsid w:val="00EE1AFB"/>
    <w:rsid w:val="00EF755C"/>
    <w:rsid w:val="00F1746C"/>
    <w:rsid w:val="00F273BE"/>
    <w:rsid w:val="00F323B0"/>
    <w:rsid w:val="00F4289A"/>
    <w:rsid w:val="00F47480"/>
    <w:rsid w:val="00F632C4"/>
    <w:rsid w:val="00F659E0"/>
    <w:rsid w:val="00F66E9F"/>
    <w:rsid w:val="00FA7771"/>
    <w:rsid w:val="00FD6209"/>
    <w:rsid w:val="00FE3664"/>
    <w:rsid w:val="00FF425F"/>
    <w:rsid w:val="0DB7D10A"/>
    <w:rsid w:val="0E15C1EA"/>
    <w:rsid w:val="14F85335"/>
    <w:rsid w:val="175C68EF"/>
    <w:rsid w:val="1FCE4D08"/>
    <w:rsid w:val="234C978D"/>
    <w:rsid w:val="25E84D53"/>
    <w:rsid w:val="26214713"/>
    <w:rsid w:val="283DA44B"/>
    <w:rsid w:val="29EB1680"/>
    <w:rsid w:val="2B59486D"/>
    <w:rsid w:val="32CC8BBE"/>
    <w:rsid w:val="32EF62CC"/>
    <w:rsid w:val="37A76D8A"/>
    <w:rsid w:val="3DA28B37"/>
    <w:rsid w:val="4081F953"/>
    <w:rsid w:val="4AD07B99"/>
    <w:rsid w:val="4FC818B2"/>
    <w:rsid w:val="50074783"/>
    <w:rsid w:val="54261641"/>
    <w:rsid w:val="55066C3F"/>
    <w:rsid w:val="55DA78ED"/>
    <w:rsid w:val="5A328F8A"/>
    <w:rsid w:val="5A589FF5"/>
    <w:rsid w:val="5B31168A"/>
    <w:rsid w:val="632E206D"/>
    <w:rsid w:val="687660AD"/>
    <w:rsid w:val="731D0909"/>
    <w:rsid w:val="7F1EB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B4837"/>
  <w15:chartTrackingRefBased/>
  <w15:docId w15:val="{AB4CEA88-FE53-4C62-812A-A64D1CEA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D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B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0B5E"/>
    <w:pPr>
      <w:widowControl w:val="0"/>
      <w:autoSpaceDE w:val="0"/>
      <w:autoSpaceDN w:val="0"/>
      <w:spacing w:after="0" w:line="274" w:lineRule="auto"/>
      <w:ind w:left="839"/>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20B5E"/>
    <w:rPr>
      <w:rFonts w:ascii="Calibri" w:eastAsia="Calibri" w:hAnsi="Calibri" w:cs="Calibri"/>
      <w:kern w:val="0"/>
      <w:sz w:val="24"/>
      <w:szCs w:val="24"/>
      <w14:ligatures w14:val="none"/>
    </w:rPr>
  </w:style>
  <w:style w:type="paragraph" w:styleId="ListParagraph">
    <w:name w:val="List Paragraph"/>
    <w:basedOn w:val="Normal"/>
    <w:uiPriority w:val="34"/>
    <w:qFormat/>
    <w:rsid w:val="00EC3F03"/>
    <w:pPr>
      <w:ind w:left="720"/>
      <w:contextualSpacing/>
    </w:pPr>
  </w:style>
  <w:style w:type="character" w:customStyle="1" w:styleId="Heading1Char">
    <w:name w:val="Heading 1 Char"/>
    <w:basedOn w:val="DefaultParagraphFont"/>
    <w:link w:val="Heading1"/>
    <w:uiPriority w:val="9"/>
    <w:rsid w:val="00353D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B6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C730A"/>
    <w:pPr>
      <w:spacing w:after="0" w:line="240" w:lineRule="auto"/>
    </w:pPr>
  </w:style>
  <w:style w:type="character" w:styleId="CommentReference">
    <w:name w:val="annotation reference"/>
    <w:basedOn w:val="DefaultParagraphFont"/>
    <w:uiPriority w:val="99"/>
    <w:semiHidden/>
    <w:unhideWhenUsed/>
    <w:rsid w:val="00725D54"/>
    <w:rPr>
      <w:sz w:val="16"/>
      <w:szCs w:val="16"/>
    </w:rPr>
  </w:style>
  <w:style w:type="paragraph" w:styleId="CommentText">
    <w:name w:val="annotation text"/>
    <w:basedOn w:val="Normal"/>
    <w:link w:val="CommentTextChar"/>
    <w:uiPriority w:val="99"/>
    <w:unhideWhenUsed/>
    <w:rsid w:val="00725D54"/>
    <w:pPr>
      <w:spacing w:line="240" w:lineRule="auto"/>
    </w:pPr>
    <w:rPr>
      <w:sz w:val="20"/>
      <w:szCs w:val="20"/>
    </w:rPr>
  </w:style>
  <w:style w:type="character" w:customStyle="1" w:styleId="CommentTextChar">
    <w:name w:val="Comment Text Char"/>
    <w:basedOn w:val="DefaultParagraphFont"/>
    <w:link w:val="CommentText"/>
    <w:uiPriority w:val="99"/>
    <w:rsid w:val="00725D54"/>
    <w:rPr>
      <w:sz w:val="20"/>
      <w:szCs w:val="20"/>
    </w:rPr>
  </w:style>
  <w:style w:type="paragraph" w:styleId="CommentSubject">
    <w:name w:val="annotation subject"/>
    <w:basedOn w:val="CommentText"/>
    <w:next w:val="CommentText"/>
    <w:link w:val="CommentSubjectChar"/>
    <w:uiPriority w:val="99"/>
    <w:semiHidden/>
    <w:unhideWhenUsed/>
    <w:rsid w:val="00725D54"/>
    <w:rPr>
      <w:b/>
      <w:bCs/>
    </w:rPr>
  </w:style>
  <w:style w:type="character" w:customStyle="1" w:styleId="CommentSubjectChar">
    <w:name w:val="Comment Subject Char"/>
    <w:basedOn w:val="CommentTextChar"/>
    <w:link w:val="CommentSubject"/>
    <w:uiPriority w:val="99"/>
    <w:semiHidden/>
    <w:rsid w:val="00725D54"/>
    <w:rPr>
      <w:b/>
      <w:bCs/>
      <w:sz w:val="20"/>
      <w:szCs w:val="20"/>
    </w:rPr>
  </w:style>
  <w:style w:type="table" w:styleId="TableGrid">
    <w:name w:val="Table Grid"/>
    <w:basedOn w:val="TableNormal"/>
    <w:uiPriority w:val="39"/>
    <w:rsid w:val="0044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7B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B7B9C"/>
  </w:style>
  <w:style w:type="character" w:customStyle="1" w:styleId="eop">
    <w:name w:val="eop"/>
    <w:basedOn w:val="DefaultParagraphFont"/>
    <w:rsid w:val="004B7B9C"/>
  </w:style>
  <w:style w:type="character" w:styleId="Hyperlink">
    <w:name w:val="Hyperlink"/>
    <w:basedOn w:val="DefaultParagraphFont"/>
    <w:uiPriority w:val="99"/>
    <w:unhideWhenUsed/>
    <w:rsid w:val="00C56B8B"/>
    <w:rPr>
      <w:color w:val="0000FF"/>
      <w:u w:val="single"/>
    </w:rPr>
  </w:style>
  <w:style w:type="character" w:styleId="UnresolvedMention">
    <w:name w:val="Unresolved Mention"/>
    <w:basedOn w:val="DefaultParagraphFont"/>
    <w:uiPriority w:val="99"/>
    <w:semiHidden/>
    <w:unhideWhenUsed/>
    <w:rsid w:val="00012B79"/>
    <w:rPr>
      <w:color w:val="605E5C"/>
      <w:shd w:val="clear" w:color="auto" w:fill="E1DFDD"/>
    </w:rPr>
  </w:style>
  <w:style w:type="character" w:styleId="FollowedHyperlink">
    <w:name w:val="FollowedHyperlink"/>
    <w:basedOn w:val="DefaultParagraphFont"/>
    <w:uiPriority w:val="99"/>
    <w:semiHidden/>
    <w:unhideWhenUsed/>
    <w:rsid w:val="005F6A34"/>
    <w:rPr>
      <w:color w:val="954F72" w:themeColor="followedHyperlink"/>
      <w:u w:val="single"/>
    </w:rPr>
  </w:style>
  <w:style w:type="paragraph" w:styleId="Header">
    <w:name w:val="header"/>
    <w:basedOn w:val="Normal"/>
    <w:link w:val="HeaderChar"/>
    <w:uiPriority w:val="99"/>
    <w:unhideWhenUsed/>
    <w:rsid w:val="00D40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01B"/>
  </w:style>
  <w:style w:type="paragraph" w:styleId="Footer">
    <w:name w:val="footer"/>
    <w:basedOn w:val="Normal"/>
    <w:link w:val="FooterChar"/>
    <w:uiPriority w:val="99"/>
    <w:unhideWhenUsed/>
    <w:rsid w:val="00D40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7652">
      <w:bodyDiv w:val="1"/>
      <w:marLeft w:val="0"/>
      <w:marRight w:val="0"/>
      <w:marTop w:val="0"/>
      <w:marBottom w:val="0"/>
      <w:divBdr>
        <w:top w:val="none" w:sz="0" w:space="0" w:color="auto"/>
        <w:left w:val="none" w:sz="0" w:space="0" w:color="auto"/>
        <w:bottom w:val="none" w:sz="0" w:space="0" w:color="auto"/>
        <w:right w:val="none" w:sz="0" w:space="0" w:color="auto"/>
      </w:divBdr>
    </w:div>
    <w:div w:id="1129399890">
      <w:bodyDiv w:val="1"/>
      <w:marLeft w:val="0"/>
      <w:marRight w:val="0"/>
      <w:marTop w:val="0"/>
      <w:marBottom w:val="0"/>
      <w:divBdr>
        <w:top w:val="none" w:sz="0" w:space="0" w:color="auto"/>
        <w:left w:val="none" w:sz="0" w:space="0" w:color="auto"/>
        <w:bottom w:val="none" w:sz="0" w:space="0" w:color="auto"/>
        <w:right w:val="none" w:sz="0" w:space="0" w:color="auto"/>
      </w:divBdr>
    </w:div>
    <w:div w:id="1380009934">
      <w:bodyDiv w:val="1"/>
      <w:marLeft w:val="0"/>
      <w:marRight w:val="0"/>
      <w:marTop w:val="0"/>
      <w:marBottom w:val="0"/>
      <w:divBdr>
        <w:top w:val="none" w:sz="0" w:space="0" w:color="auto"/>
        <w:left w:val="none" w:sz="0" w:space="0" w:color="auto"/>
        <w:bottom w:val="none" w:sz="0" w:space="0" w:color="auto"/>
        <w:right w:val="none" w:sz="0" w:space="0" w:color="auto"/>
      </w:divBdr>
      <w:divsChild>
        <w:div w:id="1569608799">
          <w:marLeft w:val="0"/>
          <w:marRight w:val="0"/>
          <w:marTop w:val="0"/>
          <w:marBottom w:val="0"/>
          <w:divBdr>
            <w:top w:val="none" w:sz="0" w:space="0" w:color="auto"/>
            <w:left w:val="none" w:sz="0" w:space="0" w:color="auto"/>
            <w:bottom w:val="none" w:sz="0" w:space="0" w:color="auto"/>
            <w:right w:val="none" w:sz="0" w:space="0" w:color="auto"/>
          </w:divBdr>
        </w:div>
        <w:div w:id="200360910">
          <w:marLeft w:val="0"/>
          <w:marRight w:val="0"/>
          <w:marTop w:val="0"/>
          <w:marBottom w:val="0"/>
          <w:divBdr>
            <w:top w:val="none" w:sz="0" w:space="0" w:color="auto"/>
            <w:left w:val="none" w:sz="0" w:space="0" w:color="auto"/>
            <w:bottom w:val="none" w:sz="0" w:space="0" w:color="auto"/>
            <w:right w:val="none" w:sz="0" w:space="0" w:color="auto"/>
          </w:divBdr>
        </w:div>
        <w:div w:id="1098678121">
          <w:marLeft w:val="0"/>
          <w:marRight w:val="0"/>
          <w:marTop w:val="0"/>
          <w:marBottom w:val="0"/>
          <w:divBdr>
            <w:top w:val="none" w:sz="0" w:space="0" w:color="auto"/>
            <w:left w:val="none" w:sz="0" w:space="0" w:color="auto"/>
            <w:bottom w:val="none" w:sz="0" w:space="0" w:color="auto"/>
            <w:right w:val="none" w:sz="0" w:space="0" w:color="auto"/>
          </w:divBdr>
        </w:div>
        <w:div w:id="1774780457">
          <w:marLeft w:val="0"/>
          <w:marRight w:val="0"/>
          <w:marTop w:val="0"/>
          <w:marBottom w:val="0"/>
          <w:divBdr>
            <w:top w:val="none" w:sz="0" w:space="0" w:color="auto"/>
            <w:left w:val="none" w:sz="0" w:space="0" w:color="auto"/>
            <w:bottom w:val="none" w:sz="0" w:space="0" w:color="auto"/>
            <w:right w:val="none" w:sz="0" w:space="0" w:color="auto"/>
          </w:divBdr>
        </w:div>
        <w:div w:id="2090422970">
          <w:marLeft w:val="0"/>
          <w:marRight w:val="0"/>
          <w:marTop w:val="0"/>
          <w:marBottom w:val="0"/>
          <w:divBdr>
            <w:top w:val="none" w:sz="0" w:space="0" w:color="auto"/>
            <w:left w:val="none" w:sz="0" w:space="0" w:color="auto"/>
            <w:bottom w:val="none" w:sz="0" w:space="0" w:color="auto"/>
            <w:right w:val="none" w:sz="0" w:space="0" w:color="auto"/>
          </w:divBdr>
        </w:div>
        <w:div w:id="1737240131">
          <w:marLeft w:val="0"/>
          <w:marRight w:val="0"/>
          <w:marTop w:val="0"/>
          <w:marBottom w:val="0"/>
          <w:divBdr>
            <w:top w:val="none" w:sz="0" w:space="0" w:color="auto"/>
            <w:left w:val="none" w:sz="0" w:space="0" w:color="auto"/>
            <w:bottom w:val="none" w:sz="0" w:space="0" w:color="auto"/>
            <w:right w:val="none" w:sz="0" w:space="0" w:color="auto"/>
          </w:divBdr>
        </w:div>
      </w:divsChild>
    </w:div>
    <w:div w:id="1414009148">
      <w:bodyDiv w:val="1"/>
      <w:marLeft w:val="0"/>
      <w:marRight w:val="0"/>
      <w:marTop w:val="0"/>
      <w:marBottom w:val="0"/>
      <w:divBdr>
        <w:top w:val="none" w:sz="0" w:space="0" w:color="auto"/>
        <w:left w:val="none" w:sz="0" w:space="0" w:color="auto"/>
        <w:bottom w:val="none" w:sz="0" w:space="0" w:color="auto"/>
        <w:right w:val="none" w:sz="0" w:space="0" w:color="auto"/>
      </w:divBdr>
    </w:div>
    <w:div w:id="1614480988">
      <w:bodyDiv w:val="1"/>
      <w:marLeft w:val="0"/>
      <w:marRight w:val="0"/>
      <w:marTop w:val="0"/>
      <w:marBottom w:val="0"/>
      <w:divBdr>
        <w:top w:val="none" w:sz="0" w:space="0" w:color="auto"/>
        <w:left w:val="none" w:sz="0" w:space="0" w:color="auto"/>
        <w:bottom w:val="none" w:sz="0" w:space="0" w:color="auto"/>
        <w:right w:val="none" w:sz="0" w:space="0" w:color="auto"/>
      </w:divBdr>
    </w:div>
    <w:div w:id="17850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programs/centers-independent-living/fiscal-information-il-progr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l.gov/programs/aging-and-disability-networks/centers-independent-liv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5/subtitle-A/subchapter-A/part-75/subpart-F/subject-group-ECFRe23fed6838f1ae8/section-75.513" TargetMode="External"/><Relationship Id="rId5" Type="http://schemas.openxmlformats.org/officeDocument/2006/relationships/numbering" Target="numbering.xml"/><Relationship Id="rId15" Type="http://schemas.openxmlformats.org/officeDocument/2006/relationships/hyperlink" Target="https://acl.gov/programs/aging-and-disability-networks/centers-independent-liv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acl.gov%2Fsites%2Fdefault%2Ffiles%2Fprograms%2F2024-12%2FACL%2520IL%2520Grant%2520Programs%2520Fiscal%2520Review%2520Checklist%2520-%2520Published%252012.10.2024.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e9bb9-fd04-47fb-9a37-2c5fdfef2401">
      <Terms xmlns="http://schemas.microsoft.com/office/infopath/2007/PartnerControls"/>
    </lcf76f155ced4ddcb4097134ff3c332f>
    <TaxCatchAll xmlns="1c7ef77e-170a-485c-855e-b345781b63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13" ma:contentTypeDescription="Create a new document." ma:contentTypeScope="" ma:versionID="5e179e6323a7a5eb60de2655000529ea">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c0f47bb09b567b956b09aac7a59ec943"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4a4fa9-6b35-49f8-8344-072dc549c19c}" ma:internalName="TaxCatchAll" ma:showField="CatchAllData" ma:web="1c7ef77e-170a-485c-855e-b345781b63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EB58E-D779-43A0-A618-08F85A7AA1A3}">
  <ds:schemaRefs>
    <ds:schemaRef ds:uri="http://schemas.microsoft.com/office/infopath/2007/PartnerControls"/>
    <ds:schemaRef ds:uri="http://schemas.microsoft.com/office/2006/metadata/properties"/>
    <ds:schemaRef ds:uri="http://purl.org/dc/terms/"/>
    <ds:schemaRef ds:uri="1c7ef77e-170a-485c-855e-b345781b6308"/>
    <ds:schemaRef ds:uri="http://purl.org/dc/dcmitype/"/>
    <ds:schemaRef ds:uri="http://schemas.microsoft.com/office/2006/documentManagement/types"/>
    <ds:schemaRef ds:uri="http://schemas.openxmlformats.org/package/2006/metadata/core-properties"/>
    <ds:schemaRef ds:uri="http://purl.org/dc/elements/1.1/"/>
    <ds:schemaRef ds:uri="7a8e9bb9-fd04-47fb-9a37-2c5fdfef2401"/>
    <ds:schemaRef ds:uri="http://www.w3.org/XML/1998/namespace"/>
  </ds:schemaRefs>
</ds:datastoreItem>
</file>

<file path=customXml/itemProps2.xml><?xml version="1.0" encoding="utf-8"?>
<ds:datastoreItem xmlns:ds="http://schemas.openxmlformats.org/officeDocument/2006/customXml" ds:itemID="{CE893CD6-244D-4264-84B2-F6305F79BC8E}">
  <ds:schemaRefs>
    <ds:schemaRef ds:uri="http://schemas.openxmlformats.org/officeDocument/2006/bibliography"/>
  </ds:schemaRefs>
</ds:datastoreItem>
</file>

<file path=customXml/itemProps3.xml><?xml version="1.0" encoding="utf-8"?>
<ds:datastoreItem xmlns:ds="http://schemas.openxmlformats.org/officeDocument/2006/customXml" ds:itemID="{3D1CB30E-529F-4233-9818-A13FCA42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17922-E194-4ACE-999F-3052CBEF49F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Baseline Review: A Component of IL COMP</dc:title>
  <dc:subject/>
  <dc:creator>Williams, Hindley (ACL)</dc:creator>
  <cp:keywords/>
  <dc:description/>
  <cp:lastModifiedBy>ACL</cp:lastModifiedBy>
  <cp:revision>6</cp:revision>
  <dcterms:created xsi:type="dcterms:W3CDTF">2025-04-04T12:22:00Z</dcterms:created>
  <dcterms:modified xsi:type="dcterms:W3CDTF">2025-05-27T12:08:00Z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MediaServiceImageTags">
    <vt:lpwstr/>
  </property>
</Properties>
</file>