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C1981" w14:textId="0E2E3B3F" w:rsidR="00984063" w:rsidRDefault="00984063" w:rsidP="00984063">
      <w:pPr>
        <w:pStyle w:val="Heading1"/>
        <w:spacing w:line="240" w:lineRule="auto"/>
        <w:ind w:left="720" w:hanging="720"/>
        <w:jc w:val="center"/>
        <w:rPr>
          <w:rFonts w:ascii="Arial" w:hAnsi="Arial" w:cs="Arial"/>
          <w:b/>
          <w:bCs/>
          <w:color w:val="4472C4" w:themeColor="accent1"/>
          <w:sz w:val="40"/>
          <w:szCs w:val="40"/>
        </w:rPr>
      </w:pPr>
      <w:r w:rsidRPr="4AAFA41C">
        <w:rPr>
          <w:rFonts w:ascii="Arial" w:hAnsi="Arial" w:cs="Arial"/>
          <w:b/>
          <w:bCs/>
          <w:color w:val="4472C4" w:themeColor="accent1"/>
          <w:sz w:val="36"/>
          <w:szCs w:val="36"/>
        </w:rPr>
        <w:t>Comprehensive Review</w:t>
      </w:r>
      <w:r w:rsidR="00093D80" w:rsidRPr="4AAFA41C">
        <w:rPr>
          <w:rFonts w:ascii="Arial" w:hAnsi="Arial" w:cs="Arial"/>
          <w:b/>
          <w:bCs/>
          <w:color w:val="4472C4" w:themeColor="accent1"/>
          <w:sz w:val="36"/>
          <w:szCs w:val="36"/>
        </w:rPr>
        <w:t xml:space="preserve"> - A Component of IL COMP</w:t>
      </w:r>
    </w:p>
    <w:p w14:paraId="1DA77D79" w14:textId="5F530053" w:rsidR="4AAFA41C" w:rsidRDefault="4AAFA41C" w:rsidP="4AAFA41C">
      <w:pPr>
        <w:pStyle w:val="Heading2"/>
        <w:spacing w:before="120" w:line="240" w:lineRule="auto"/>
        <w:rPr>
          <w:rFonts w:ascii="Arial" w:hAnsi="Arial" w:cs="Arial"/>
          <w:b/>
          <w:bCs/>
          <w:color w:val="4472C4" w:themeColor="accent1"/>
          <w:sz w:val="24"/>
          <w:szCs w:val="24"/>
        </w:rPr>
      </w:pPr>
    </w:p>
    <w:p w14:paraId="4E6D42BF" w14:textId="77777777" w:rsidR="00984063" w:rsidRDefault="00984063" w:rsidP="4AAFA41C">
      <w:pPr>
        <w:pStyle w:val="Heading2"/>
        <w:spacing w:before="0" w:line="240" w:lineRule="auto"/>
        <w:rPr>
          <w:rFonts w:ascii="Arial" w:hAnsi="Arial" w:cs="Arial"/>
          <w:b/>
          <w:bCs/>
          <w:color w:val="4472C4" w:themeColor="accent1"/>
          <w:sz w:val="24"/>
          <w:szCs w:val="24"/>
        </w:rPr>
      </w:pPr>
      <w:r w:rsidRPr="4AAFA41C">
        <w:rPr>
          <w:rFonts w:ascii="Arial" w:hAnsi="Arial" w:cs="Arial"/>
          <w:b/>
          <w:bCs/>
          <w:color w:val="4472C4" w:themeColor="accent1"/>
          <w:sz w:val="24"/>
          <w:szCs w:val="24"/>
        </w:rPr>
        <w:t xml:space="preserve">Overview </w:t>
      </w:r>
    </w:p>
    <w:p w14:paraId="1A715DEC" w14:textId="20614C8E" w:rsidR="00984063" w:rsidRDefault="00984063" w:rsidP="4AAFA41C">
      <w:pPr>
        <w:pStyle w:val="BodyText"/>
        <w:spacing w:line="273" w:lineRule="auto"/>
        <w:ind w:left="0" w:right="410"/>
        <w:rPr>
          <w:rFonts w:ascii="Arial" w:hAnsi="Arial" w:cs="Arial"/>
        </w:rPr>
      </w:pPr>
      <w:r w:rsidRPr="4AAFA41C">
        <w:rPr>
          <w:rFonts w:ascii="Arial" w:hAnsi="Arial" w:cs="Arial"/>
        </w:rPr>
        <w:t>A c</w:t>
      </w:r>
      <w:r w:rsidR="004B0319" w:rsidRPr="4AAFA41C">
        <w:rPr>
          <w:rFonts w:ascii="Arial" w:hAnsi="Arial" w:cs="Arial"/>
        </w:rPr>
        <w:t xml:space="preserve">omprehensive </w:t>
      </w:r>
      <w:r w:rsidR="00920B5E" w:rsidRPr="4AAFA41C">
        <w:rPr>
          <w:rFonts w:ascii="Arial" w:hAnsi="Arial" w:cs="Arial"/>
        </w:rPr>
        <w:t>review</w:t>
      </w:r>
      <w:r w:rsidRPr="4AAFA41C">
        <w:rPr>
          <w:rFonts w:ascii="Arial" w:hAnsi="Arial" w:cs="Arial"/>
        </w:rPr>
        <w:t xml:space="preserve"> is a</w:t>
      </w:r>
      <w:r w:rsidR="00920B5E" w:rsidRPr="4AAFA41C">
        <w:rPr>
          <w:rFonts w:ascii="Arial" w:hAnsi="Arial" w:cs="Arial"/>
        </w:rPr>
        <w:t xml:space="preserve"> </w:t>
      </w:r>
      <w:r w:rsidR="004B0319" w:rsidRPr="4AAFA41C">
        <w:rPr>
          <w:rFonts w:ascii="Arial" w:hAnsi="Arial" w:cs="Arial"/>
        </w:rPr>
        <w:t xml:space="preserve">standardized </w:t>
      </w:r>
      <w:r w:rsidR="00920B5E" w:rsidRPr="4AAFA41C">
        <w:rPr>
          <w:rFonts w:ascii="Arial" w:hAnsi="Arial" w:cs="Arial"/>
        </w:rPr>
        <w:t>review</w:t>
      </w:r>
      <w:r w:rsidRPr="4AAFA41C">
        <w:rPr>
          <w:rFonts w:ascii="Arial" w:hAnsi="Arial" w:cs="Arial"/>
        </w:rPr>
        <w:t xml:space="preserve"> of the grantee</w:t>
      </w:r>
      <w:r w:rsidR="00920B5E" w:rsidRPr="4AAFA41C">
        <w:rPr>
          <w:rFonts w:ascii="Arial" w:hAnsi="Arial" w:cs="Arial"/>
        </w:rPr>
        <w:t xml:space="preserve"> </w:t>
      </w:r>
      <w:r w:rsidR="00544D9E" w:rsidRPr="4AAFA41C">
        <w:rPr>
          <w:rFonts w:ascii="Arial" w:hAnsi="Arial" w:cs="Arial"/>
        </w:rPr>
        <w:t xml:space="preserve">that </w:t>
      </w:r>
      <w:r w:rsidRPr="4AAFA41C">
        <w:rPr>
          <w:rFonts w:ascii="Arial" w:hAnsi="Arial" w:cs="Arial"/>
        </w:rPr>
        <w:t xml:space="preserve">is </w:t>
      </w:r>
      <w:r w:rsidR="00544D9E" w:rsidRPr="4AAFA41C">
        <w:rPr>
          <w:rFonts w:ascii="Arial" w:hAnsi="Arial" w:cs="Arial"/>
        </w:rPr>
        <w:t xml:space="preserve">part of </w:t>
      </w:r>
      <w:r w:rsidRPr="4AAFA41C">
        <w:rPr>
          <w:rFonts w:ascii="Arial" w:hAnsi="Arial" w:cs="Arial"/>
        </w:rPr>
        <w:t xml:space="preserve">the </w:t>
      </w:r>
      <w:r w:rsidR="00544D9E" w:rsidRPr="4AAFA41C">
        <w:rPr>
          <w:rFonts w:ascii="Arial" w:hAnsi="Arial" w:cs="Arial"/>
        </w:rPr>
        <w:t xml:space="preserve">Compliance Outcome Monitoring Protocol (COMP) </w:t>
      </w:r>
      <w:r w:rsidRPr="4AAFA41C">
        <w:rPr>
          <w:rFonts w:ascii="Arial" w:hAnsi="Arial" w:cs="Arial"/>
        </w:rPr>
        <w:t xml:space="preserve">for the IL program. Like the name implies, a comprehensive review </w:t>
      </w:r>
      <w:r w:rsidR="00544D9E" w:rsidRPr="4AAFA41C">
        <w:rPr>
          <w:rFonts w:ascii="Arial" w:hAnsi="Arial" w:cs="Arial"/>
        </w:rPr>
        <w:t>include</w:t>
      </w:r>
      <w:r w:rsidRPr="4AAFA41C">
        <w:rPr>
          <w:rFonts w:ascii="Arial" w:hAnsi="Arial" w:cs="Arial"/>
        </w:rPr>
        <w:t>s</w:t>
      </w:r>
      <w:r w:rsidR="00544D9E" w:rsidRPr="4AAFA41C">
        <w:rPr>
          <w:rFonts w:ascii="Arial" w:hAnsi="Arial" w:cs="Arial"/>
        </w:rPr>
        <w:t xml:space="preserve"> all </w:t>
      </w:r>
      <w:r w:rsidRPr="4AAFA41C">
        <w:rPr>
          <w:rFonts w:ascii="Arial" w:hAnsi="Arial" w:cs="Arial"/>
        </w:rPr>
        <w:t>components of a grantee’s operations, such as fiscal and programmatic</w:t>
      </w:r>
      <w:r w:rsidR="00224408" w:rsidRPr="4AAFA41C">
        <w:rPr>
          <w:rFonts w:ascii="Arial" w:hAnsi="Arial" w:cs="Arial"/>
        </w:rPr>
        <w:t xml:space="preserve">. </w:t>
      </w:r>
      <w:r w:rsidR="003C77BA" w:rsidRPr="4AAFA41C">
        <w:rPr>
          <w:rFonts w:ascii="Arial" w:hAnsi="Arial" w:cs="Arial"/>
        </w:rPr>
        <w:t xml:space="preserve">Comprehensive reviews </w:t>
      </w:r>
      <w:r w:rsidR="00544D9E" w:rsidRPr="4AAFA41C">
        <w:rPr>
          <w:rFonts w:ascii="Arial" w:hAnsi="Arial" w:cs="Arial"/>
        </w:rPr>
        <w:t>identify</w:t>
      </w:r>
      <w:r w:rsidRPr="4AAFA41C">
        <w:rPr>
          <w:rFonts w:ascii="Arial" w:hAnsi="Arial" w:cs="Arial"/>
        </w:rPr>
        <w:t xml:space="preserve"> compliance concerns and</w:t>
      </w:r>
      <w:r w:rsidR="00544D9E" w:rsidRPr="4AAFA41C">
        <w:rPr>
          <w:rFonts w:ascii="Arial" w:hAnsi="Arial" w:cs="Arial"/>
        </w:rPr>
        <w:t xml:space="preserve"> areas in need of </w:t>
      </w:r>
      <w:r w:rsidR="00A04EB8" w:rsidRPr="4AAFA41C">
        <w:rPr>
          <w:rFonts w:ascii="Arial" w:hAnsi="Arial" w:cs="Arial"/>
        </w:rPr>
        <w:t>technical assistance</w:t>
      </w:r>
      <w:r w:rsidR="003B2833" w:rsidRPr="4AAFA41C">
        <w:rPr>
          <w:rFonts w:ascii="Arial" w:hAnsi="Arial" w:cs="Arial"/>
        </w:rPr>
        <w:t xml:space="preserve">. </w:t>
      </w:r>
      <w:r w:rsidR="00A8784E" w:rsidRPr="4AAFA41C">
        <w:rPr>
          <w:rFonts w:ascii="Arial" w:hAnsi="Arial" w:cs="Arial"/>
        </w:rPr>
        <w:t xml:space="preserve">Members of the </w:t>
      </w:r>
      <w:r w:rsidRPr="4AAFA41C">
        <w:rPr>
          <w:rFonts w:ascii="Arial" w:hAnsi="Arial" w:cs="Arial"/>
        </w:rPr>
        <w:t xml:space="preserve">federal </w:t>
      </w:r>
      <w:r w:rsidR="00A8784E" w:rsidRPr="4AAFA41C">
        <w:rPr>
          <w:rFonts w:ascii="Arial" w:hAnsi="Arial" w:cs="Arial"/>
        </w:rPr>
        <w:t>review team incl</w:t>
      </w:r>
      <w:r w:rsidR="008E3F95" w:rsidRPr="4AAFA41C">
        <w:rPr>
          <w:rFonts w:ascii="Arial" w:hAnsi="Arial" w:cs="Arial"/>
        </w:rPr>
        <w:t xml:space="preserve">ude the program officer, fiscal officer, </w:t>
      </w:r>
      <w:r w:rsidR="00421B28" w:rsidRPr="4AAFA41C">
        <w:rPr>
          <w:rFonts w:ascii="Arial" w:hAnsi="Arial" w:cs="Arial"/>
        </w:rPr>
        <w:t xml:space="preserve">and </w:t>
      </w:r>
      <w:r w:rsidR="008E3F95" w:rsidRPr="4AAFA41C">
        <w:rPr>
          <w:rFonts w:ascii="Arial" w:hAnsi="Arial" w:cs="Arial"/>
        </w:rPr>
        <w:t xml:space="preserve">a non-federal reviewer. </w:t>
      </w:r>
      <w:r w:rsidRPr="4AAFA41C">
        <w:rPr>
          <w:rFonts w:ascii="Arial" w:hAnsi="Arial" w:cs="Arial"/>
        </w:rPr>
        <w:t>In addition, t</w:t>
      </w:r>
      <w:r w:rsidR="008E3F95" w:rsidRPr="4AAFA41C">
        <w:rPr>
          <w:rFonts w:ascii="Arial" w:hAnsi="Arial" w:cs="Arial"/>
        </w:rPr>
        <w:t xml:space="preserve">he grantee </w:t>
      </w:r>
      <w:r w:rsidR="00544D9E" w:rsidRPr="4AAFA41C">
        <w:rPr>
          <w:rFonts w:ascii="Arial" w:hAnsi="Arial" w:cs="Arial"/>
        </w:rPr>
        <w:t>should notify their board chair and treasurer and</w:t>
      </w:r>
      <w:r w:rsidR="008E3F95" w:rsidRPr="4AAFA41C">
        <w:rPr>
          <w:rFonts w:ascii="Arial" w:hAnsi="Arial" w:cs="Arial"/>
        </w:rPr>
        <w:t xml:space="preserve"> bring </w:t>
      </w:r>
      <w:r w:rsidR="00544D9E" w:rsidRPr="4AAFA41C">
        <w:rPr>
          <w:rFonts w:ascii="Arial" w:hAnsi="Arial" w:cs="Arial"/>
        </w:rPr>
        <w:t>them and any applicable staff</w:t>
      </w:r>
      <w:r w:rsidR="00A511EF" w:rsidRPr="4AAFA41C">
        <w:rPr>
          <w:rFonts w:ascii="Arial" w:hAnsi="Arial" w:cs="Arial"/>
        </w:rPr>
        <w:t xml:space="preserve"> and those they wish to invite</w:t>
      </w:r>
      <w:r w:rsidR="00544D9E" w:rsidRPr="4AAFA41C">
        <w:rPr>
          <w:rFonts w:ascii="Arial" w:hAnsi="Arial" w:cs="Arial"/>
        </w:rPr>
        <w:t xml:space="preserve"> to</w:t>
      </w:r>
      <w:r w:rsidR="00421B28" w:rsidRPr="4AAFA41C">
        <w:rPr>
          <w:rFonts w:ascii="Arial" w:hAnsi="Arial" w:cs="Arial"/>
        </w:rPr>
        <w:t xml:space="preserve"> review activities. </w:t>
      </w:r>
    </w:p>
    <w:p w14:paraId="563D514A" w14:textId="5AD5E169" w:rsidR="4AAFA41C" w:rsidRDefault="4AAFA41C" w:rsidP="4AAFA41C">
      <w:pPr>
        <w:pStyle w:val="BodyText"/>
        <w:spacing w:line="273" w:lineRule="auto"/>
        <w:ind w:left="0" w:right="410"/>
        <w:rPr>
          <w:rFonts w:ascii="Arial" w:hAnsi="Arial" w:cs="Arial"/>
        </w:rPr>
      </w:pPr>
    </w:p>
    <w:p w14:paraId="63130D5A" w14:textId="0EB32AF3" w:rsidR="00984063" w:rsidRDefault="00984063" w:rsidP="00A511EF">
      <w:pPr>
        <w:pStyle w:val="Heading2"/>
        <w:spacing w:before="0" w:after="120" w:line="240" w:lineRule="auto"/>
        <w:rPr>
          <w:rFonts w:ascii="Arial" w:hAnsi="Arial" w:cs="Arial"/>
          <w:b/>
          <w:bCs/>
          <w:color w:val="4472C4" w:themeColor="accent1"/>
          <w:sz w:val="24"/>
          <w:szCs w:val="24"/>
        </w:rPr>
      </w:pPr>
      <w:r w:rsidRPr="4AAFA41C">
        <w:rPr>
          <w:rFonts w:ascii="Arial" w:hAnsi="Arial" w:cs="Arial"/>
          <w:b/>
          <w:bCs/>
          <w:color w:val="4472C4" w:themeColor="accent1"/>
          <w:sz w:val="24"/>
          <w:szCs w:val="24"/>
        </w:rPr>
        <w:t xml:space="preserve">Purpose of a Comprehensive Review </w:t>
      </w:r>
    </w:p>
    <w:p w14:paraId="2A1E2308" w14:textId="036CA1D1" w:rsidR="00F1746C" w:rsidRPr="00FF1A66" w:rsidRDefault="00984063" w:rsidP="00A511EF">
      <w:pPr>
        <w:pStyle w:val="BodyText"/>
        <w:spacing w:line="273" w:lineRule="auto"/>
        <w:ind w:left="0" w:right="410"/>
        <w:rPr>
          <w:rFonts w:ascii="Arial" w:hAnsi="Arial" w:cs="Arial"/>
        </w:rPr>
      </w:pPr>
      <w:r>
        <w:rPr>
          <w:rFonts w:ascii="Arial" w:hAnsi="Arial" w:cs="Arial"/>
        </w:rPr>
        <w:t>A comprehensive review lo</w:t>
      </w:r>
      <w:r w:rsidR="002E206F" w:rsidRPr="00FF1A66">
        <w:rPr>
          <w:rFonts w:ascii="Arial" w:hAnsi="Arial" w:cs="Arial"/>
          <w:spacing w:val="-4"/>
        </w:rPr>
        <w:t>ok</w:t>
      </w:r>
      <w:r>
        <w:rPr>
          <w:rFonts w:ascii="Arial" w:hAnsi="Arial" w:cs="Arial"/>
          <w:spacing w:val="-4"/>
        </w:rPr>
        <w:t>s</w:t>
      </w:r>
      <w:r w:rsidR="002E206F" w:rsidRPr="00FF1A66">
        <w:rPr>
          <w:rFonts w:ascii="Arial" w:hAnsi="Arial" w:cs="Arial"/>
          <w:spacing w:val="-4"/>
        </w:rPr>
        <w:t xml:space="preserve"> deeply into </w:t>
      </w:r>
      <w:r>
        <w:rPr>
          <w:rFonts w:ascii="Arial" w:hAnsi="Arial" w:cs="Arial"/>
          <w:spacing w:val="-4"/>
        </w:rPr>
        <w:t xml:space="preserve">an </w:t>
      </w:r>
      <w:r w:rsidR="002E206F" w:rsidRPr="00FF1A66">
        <w:rPr>
          <w:rFonts w:ascii="Arial" w:hAnsi="Arial" w:cs="Arial"/>
          <w:spacing w:val="-4"/>
        </w:rPr>
        <w:t>organization</w:t>
      </w:r>
      <w:r>
        <w:rPr>
          <w:rFonts w:ascii="Arial" w:hAnsi="Arial" w:cs="Arial"/>
          <w:spacing w:val="-4"/>
        </w:rPr>
        <w:t xml:space="preserve">’s </w:t>
      </w:r>
      <w:r w:rsidR="00743650">
        <w:rPr>
          <w:rFonts w:ascii="Arial" w:hAnsi="Arial" w:cs="Arial"/>
          <w:spacing w:val="-4"/>
        </w:rPr>
        <w:t xml:space="preserve">structure, </w:t>
      </w:r>
      <w:r w:rsidR="002E206F" w:rsidRPr="00FF1A66">
        <w:rPr>
          <w:rFonts w:ascii="Arial" w:hAnsi="Arial" w:cs="Arial"/>
          <w:spacing w:val="-4"/>
        </w:rPr>
        <w:t>practices</w:t>
      </w:r>
      <w:r w:rsidR="00743650">
        <w:rPr>
          <w:rFonts w:ascii="Arial" w:hAnsi="Arial" w:cs="Arial"/>
          <w:spacing w:val="-4"/>
        </w:rPr>
        <w:t>,</w:t>
      </w:r>
      <w:r w:rsidR="002E206F" w:rsidRPr="00FF1A66">
        <w:rPr>
          <w:rFonts w:ascii="Arial" w:hAnsi="Arial" w:cs="Arial"/>
          <w:spacing w:val="-4"/>
        </w:rPr>
        <w:t xml:space="preserve"> and policies to</w:t>
      </w:r>
      <w:r>
        <w:rPr>
          <w:rFonts w:ascii="Arial" w:hAnsi="Arial" w:cs="Arial"/>
          <w:spacing w:val="-4"/>
        </w:rPr>
        <w:t xml:space="preserve"> understand where root </w:t>
      </w:r>
      <w:r w:rsidR="00743650">
        <w:rPr>
          <w:rFonts w:ascii="Arial" w:hAnsi="Arial" w:cs="Arial"/>
          <w:spacing w:val="-4"/>
        </w:rPr>
        <w:t xml:space="preserve">causes to a grantee’s issues may occur. The result of the review culminates in a final report that is published on the ACL website. This public report offers transparency regarding the process and allows grantees to learn from each other. Where applicable, the report will include findings of instances where the grantee is out of compliance with recommended corrective actions and technical assistance for the grantee to come into compliance. </w:t>
      </w:r>
      <w:r w:rsidR="00A474CB" w:rsidRPr="00FF1A66">
        <w:rPr>
          <w:rFonts w:ascii="Arial" w:hAnsi="Arial" w:cs="Arial"/>
          <w:spacing w:val="-4"/>
        </w:rPr>
        <w:t xml:space="preserve">Unlike other types of reviews, </w:t>
      </w:r>
      <w:r w:rsidR="00743650">
        <w:rPr>
          <w:rFonts w:ascii="Arial" w:hAnsi="Arial" w:cs="Arial"/>
          <w:spacing w:val="-4"/>
        </w:rPr>
        <w:t xml:space="preserve">a </w:t>
      </w:r>
      <w:r w:rsidR="00A474CB" w:rsidRPr="00FF1A66">
        <w:rPr>
          <w:rFonts w:ascii="Arial" w:hAnsi="Arial" w:cs="Arial"/>
          <w:spacing w:val="-4"/>
        </w:rPr>
        <w:t>comprehensive review allow</w:t>
      </w:r>
      <w:r w:rsidR="00743650">
        <w:rPr>
          <w:rFonts w:ascii="Arial" w:hAnsi="Arial" w:cs="Arial"/>
          <w:spacing w:val="-4"/>
        </w:rPr>
        <w:t>s</w:t>
      </w:r>
      <w:r w:rsidR="00A474CB" w:rsidRPr="00FF1A66">
        <w:rPr>
          <w:rFonts w:ascii="Arial" w:hAnsi="Arial" w:cs="Arial"/>
          <w:spacing w:val="-4"/>
        </w:rPr>
        <w:t xml:space="preserve"> </w:t>
      </w:r>
      <w:r w:rsidR="00326803" w:rsidRPr="00FF1A66">
        <w:rPr>
          <w:rFonts w:ascii="Arial" w:hAnsi="Arial" w:cs="Arial"/>
          <w:spacing w:val="-4"/>
        </w:rPr>
        <w:t xml:space="preserve">ACL to </w:t>
      </w:r>
      <w:r w:rsidR="00743650">
        <w:rPr>
          <w:rFonts w:ascii="Arial" w:hAnsi="Arial" w:cs="Arial"/>
          <w:spacing w:val="-4"/>
        </w:rPr>
        <w:t>assess</w:t>
      </w:r>
      <w:r w:rsidR="00326803" w:rsidRPr="00FF1A66">
        <w:rPr>
          <w:rFonts w:ascii="Arial" w:hAnsi="Arial" w:cs="Arial"/>
          <w:spacing w:val="-4"/>
        </w:rPr>
        <w:t xml:space="preserve"> the organization </w:t>
      </w:r>
      <w:r w:rsidR="006363E4" w:rsidRPr="00FF1A66">
        <w:rPr>
          <w:rFonts w:ascii="Arial" w:hAnsi="Arial" w:cs="Arial"/>
          <w:spacing w:val="-4"/>
        </w:rPr>
        <w:t>wholistically</w:t>
      </w:r>
      <w:r w:rsidR="00743650">
        <w:rPr>
          <w:rFonts w:ascii="Arial" w:hAnsi="Arial" w:cs="Arial"/>
          <w:spacing w:val="-4"/>
        </w:rPr>
        <w:t xml:space="preserve"> using multiple methods, such as</w:t>
      </w:r>
      <w:r w:rsidR="00544D9E">
        <w:rPr>
          <w:rFonts w:ascii="Arial" w:hAnsi="Arial" w:cs="Arial"/>
          <w:spacing w:val="-4"/>
        </w:rPr>
        <w:t xml:space="preserve"> interviewing consumers, staff, community members, </w:t>
      </w:r>
      <w:r w:rsidR="00743650">
        <w:rPr>
          <w:rFonts w:ascii="Arial" w:hAnsi="Arial" w:cs="Arial"/>
          <w:spacing w:val="-4"/>
        </w:rPr>
        <w:t xml:space="preserve">and </w:t>
      </w:r>
      <w:r w:rsidR="00544D9E">
        <w:rPr>
          <w:rFonts w:ascii="Arial" w:hAnsi="Arial" w:cs="Arial"/>
          <w:spacing w:val="-4"/>
        </w:rPr>
        <w:t>board members; reviewing consumer files</w:t>
      </w:r>
      <w:r w:rsidR="00743650">
        <w:rPr>
          <w:rFonts w:ascii="Arial" w:hAnsi="Arial" w:cs="Arial"/>
          <w:spacing w:val="-4"/>
        </w:rPr>
        <w:t>, financials, and policies</w:t>
      </w:r>
      <w:r w:rsidR="00544D9E">
        <w:rPr>
          <w:rFonts w:ascii="Arial" w:hAnsi="Arial" w:cs="Arial"/>
          <w:spacing w:val="-4"/>
        </w:rPr>
        <w:t xml:space="preserve">; and </w:t>
      </w:r>
      <w:r w:rsidR="00743650">
        <w:rPr>
          <w:rFonts w:ascii="Arial" w:hAnsi="Arial" w:cs="Arial"/>
          <w:spacing w:val="-4"/>
        </w:rPr>
        <w:t xml:space="preserve">evaluating the location’s accessibility. This review can be conducted either virtually or in-person. Due to the </w:t>
      </w:r>
      <w:r w:rsidR="00437CB6">
        <w:rPr>
          <w:rFonts w:ascii="Arial" w:hAnsi="Arial" w:cs="Arial"/>
          <w:spacing w:val="-4"/>
        </w:rPr>
        <w:t xml:space="preserve">time and resources to conduct these reviews, </w:t>
      </w:r>
      <w:r w:rsidR="00EE7A3F">
        <w:rPr>
          <w:rFonts w:ascii="Arial" w:hAnsi="Arial" w:cs="Arial"/>
          <w:spacing w:val="-4"/>
        </w:rPr>
        <w:t xml:space="preserve">in-person is </w:t>
      </w:r>
      <w:r w:rsidR="00437CB6">
        <w:rPr>
          <w:rFonts w:ascii="Arial" w:hAnsi="Arial" w:cs="Arial"/>
          <w:spacing w:val="-4"/>
        </w:rPr>
        <w:t>utilized the least</w:t>
      </w:r>
      <w:r w:rsidR="00240CB5">
        <w:rPr>
          <w:rFonts w:ascii="Arial" w:hAnsi="Arial" w:cs="Arial"/>
          <w:spacing w:val="-4"/>
        </w:rPr>
        <w:t xml:space="preserve"> often</w:t>
      </w:r>
      <w:r w:rsidR="00437CB6">
        <w:rPr>
          <w:rFonts w:ascii="Arial" w:hAnsi="Arial" w:cs="Arial"/>
          <w:spacing w:val="-4"/>
        </w:rPr>
        <w:t>.</w:t>
      </w:r>
    </w:p>
    <w:p w14:paraId="4A52035F" w14:textId="77777777" w:rsidR="00A511EF" w:rsidRDefault="00A511EF" w:rsidP="00A511EF">
      <w:pPr>
        <w:pStyle w:val="Heading2"/>
        <w:spacing w:before="0"/>
        <w:rPr>
          <w:rFonts w:ascii="Arial" w:hAnsi="Arial" w:cs="Arial"/>
          <w:b/>
          <w:bCs/>
          <w:color w:val="4472C4" w:themeColor="accent1"/>
          <w:sz w:val="24"/>
          <w:szCs w:val="24"/>
        </w:rPr>
      </w:pPr>
    </w:p>
    <w:p w14:paraId="4E3F1331" w14:textId="5AAA1770" w:rsidR="00437CB6" w:rsidRDefault="00437CB6" w:rsidP="4AAFA41C">
      <w:pPr>
        <w:pStyle w:val="Heading2"/>
        <w:spacing w:before="0"/>
        <w:rPr>
          <w:rFonts w:ascii="Arial" w:hAnsi="Arial" w:cs="Arial"/>
          <w:b/>
          <w:bCs/>
          <w:color w:val="4472C4" w:themeColor="accent1"/>
          <w:sz w:val="24"/>
          <w:szCs w:val="24"/>
        </w:rPr>
      </w:pPr>
      <w:r w:rsidRPr="4AAFA41C">
        <w:rPr>
          <w:rFonts w:ascii="Arial" w:hAnsi="Arial" w:cs="Arial"/>
          <w:b/>
          <w:bCs/>
          <w:color w:val="4472C4" w:themeColor="accent1"/>
          <w:sz w:val="24"/>
          <w:szCs w:val="24"/>
        </w:rPr>
        <w:t xml:space="preserve">Triggers for a Comprehensive Review </w:t>
      </w:r>
    </w:p>
    <w:p w14:paraId="5C5A319E" w14:textId="5CD5CB1B" w:rsidR="00706832" w:rsidRDefault="006363E4" w:rsidP="00A511EF">
      <w:pPr>
        <w:pStyle w:val="BodyText"/>
        <w:spacing w:line="273" w:lineRule="auto"/>
        <w:ind w:left="0" w:right="410"/>
        <w:rPr>
          <w:rFonts w:ascii="Arial" w:hAnsi="Arial" w:cs="Arial"/>
          <w:spacing w:val="-2"/>
        </w:rPr>
      </w:pPr>
      <w:r w:rsidRPr="00FF1A66">
        <w:rPr>
          <w:rFonts w:ascii="Arial" w:hAnsi="Arial" w:cs="Arial"/>
          <w:spacing w:val="-2"/>
        </w:rPr>
        <w:t>Comprehensive reviews</w:t>
      </w:r>
      <w:r w:rsidR="5F4AD807" w:rsidRPr="00FF1A66">
        <w:rPr>
          <w:rFonts w:ascii="Arial" w:hAnsi="Arial" w:cs="Arial"/>
          <w:spacing w:val="-2"/>
        </w:rPr>
        <w:t xml:space="preserve"> </w:t>
      </w:r>
      <w:r w:rsidR="00437CB6">
        <w:rPr>
          <w:rFonts w:ascii="Arial" w:hAnsi="Arial" w:cs="Arial"/>
          <w:spacing w:val="-2"/>
        </w:rPr>
        <w:t>are</w:t>
      </w:r>
      <w:r w:rsidR="00240CB5">
        <w:rPr>
          <w:rFonts w:ascii="Arial" w:hAnsi="Arial" w:cs="Arial"/>
          <w:spacing w:val="-2"/>
        </w:rPr>
        <w:t xml:space="preserve"> usually </w:t>
      </w:r>
      <w:r w:rsidR="5F4AD807" w:rsidRPr="00FF1A66">
        <w:rPr>
          <w:rFonts w:ascii="Arial" w:hAnsi="Arial" w:cs="Arial"/>
          <w:spacing w:val="-2"/>
        </w:rPr>
        <w:t xml:space="preserve">initiated </w:t>
      </w:r>
      <w:r w:rsidR="00437CB6">
        <w:rPr>
          <w:rFonts w:ascii="Arial" w:hAnsi="Arial" w:cs="Arial"/>
          <w:spacing w:val="-2"/>
        </w:rPr>
        <w:t xml:space="preserve">from </w:t>
      </w:r>
      <w:r w:rsidR="1694A79C" w:rsidRPr="00FF1A66">
        <w:rPr>
          <w:rFonts w:ascii="Arial" w:hAnsi="Arial" w:cs="Arial"/>
          <w:spacing w:val="-2"/>
        </w:rPr>
        <w:t xml:space="preserve">concerns identified during baseline </w:t>
      </w:r>
      <w:r w:rsidR="00F44C0F" w:rsidRPr="00FF1A66">
        <w:rPr>
          <w:rFonts w:ascii="Arial" w:hAnsi="Arial" w:cs="Arial"/>
          <w:spacing w:val="-2"/>
        </w:rPr>
        <w:t xml:space="preserve">or targeted </w:t>
      </w:r>
      <w:r w:rsidR="1694A79C" w:rsidRPr="00FF1A66">
        <w:rPr>
          <w:rFonts w:ascii="Arial" w:hAnsi="Arial" w:cs="Arial"/>
          <w:spacing w:val="-2"/>
        </w:rPr>
        <w:t xml:space="preserve">monitoring activities. </w:t>
      </w:r>
      <w:r w:rsidR="0046283D" w:rsidRPr="00FF1A66">
        <w:rPr>
          <w:rFonts w:ascii="Arial" w:hAnsi="Arial" w:cs="Arial"/>
          <w:spacing w:val="-2"/>
        </w:rPr>
        <w:t xml:space="preserve">A </w:t>
      </w:r>
      <w:r w:rsidR="00437CB6">
        <w:rPr>
          <w:rFonts w:ascii="Arial" w:hAnsi="Arial" w:cs="Arial"/>
          <w:spacing w:val="-2"/>
        </w:rPr>
        <w:t xml:space="preserve">comprehensive </w:t>
      </w:r>
      <w:r w:rsidR="0046283D" w:rsidRPr="00FF1A66">
        <w:rPr>
          <w:rFonts w:ascii="Arial" w:hAnsi="Arial" w:cs="Arial"/>
          <w:spacing w:val="-2"/>
        </w:rPr>
        <w:t xml:space="preserve">review may follow a </w:t>
      </w:r>
      <w:r w:rsidR="00437CB6">
        <w:rPr>
          <w:rFonts w:ascii="Arial" w:hAnsi="Arial" w:cs="Arial"/>
          <w:spacing w:val="-2"/>
        </w:rPr>
        <w:t xml:space="preserve">targeted </w:t>
      </w:r>
      <w:r w:rsidR="0046283D" w:rsidRPr="00FF1A66">
        <w:rPr>
          <w:rFonts w:ascii="Arial" w:hAnsi="Arial" w:cs="Arial"/>
          <w:spacing w:val="-2"/>
        </w:rPr>
        <w:t xml:space="preserve">review if </w:t>
      </w:r>
      <w:r w:rsidR="00437CB6">
        <w:rPr>
          <w:rFonts w:ascii="Arial" w:hAnsi="Arial" w:cs="Arial"/>
          <w:spacing w:val="-2"/>
        </w:rPr>
        <w:t>there are issues that remain unaddressed from a failed corrective action plan, or compliance failures persist</w:t>
      </w:r>
      <w:r w:rsidR="0007492D" w:rsidRPr="00FF1A66">
        <w:rPr>
          <w:rFonts w:ascii="Arial" w:hAnsi="Arial" w:cs="Arial"/>
          <w:spacing w:val="-2"/>
        </w:rPr>
        <w:t xml:space="preserve">. </w:t>
      </w:r>
      <w:r w:rsidR="00240CB5">
        <w:rPr>
          <w:rFonts w:ascii="Arial" w:hAnsi="Arial" w:cs="Arial"/>
          <w:spacing w:val="-2"/>
        </w:rPr>
        <w:t>Like targeted reviews, a comprehensive review is i</w:t>
      </w:r>
      <w:r w:rsidR="00240CB5" w:rsidRPr="00FF1A66">
        <w:rPr>
          <w:rFonts w:ascii="Arial" w:hAnsi="Arial" w:cs="Arial"/>
          <w:spacing w:val="-2"/>
        </w:rPr>
        <w:t xml:space="preserve">nitiated due to </w:t>
      </w:r>
      <w:r w:rsidR="00240CB5">
        <w:rPr>
          <w:rFonts w:ascii="Arial" w:hAnsi="Arial" w:cs="Arial"/>
          <w:spacing w:val="-2"/>
        </w:rPr>
        <w:t xml:space="preserve">the same </w:t>
      </w:r>
      <w:r w:rsidR="00240CB5" w:rsidRPr="00FF1A66">
        <w:rPr>
          <w:rFonts w:ascii="Arial" w:hAnsi="Arial" w:cs="Arial"/>
          <w:spacing w:val="-2"/>
        </w:rPr>
        <w:t>triggers</w:t>
      </w:r>
      <w:r w:rsidR="00240CB5">
        <w:rPr>
          <w:rFonts w:ascii="Arial" w:hAnsi="Arial" w:cs="Arial"/>
          <w:spacing w:val="-2"/>
        </w:rPr>
        <w:t>.</w:t>
      </w:r>
      <w:r w:rsidR="00240CB5" w:rsidRPr="00FF1A66">
        <w:rPr>
          <w:rFonts w:ascii="Arial" w:hAnsi="Arial" w:cs="Arial"/>
          <w:spacing w:val="-2"/>
        </w:rPr>
        <w:t xml:space="preserve"> The more triggers present, the higher the risk</w:t>
      </w:r>
      <w:r w:rsidR="00240CB5">
        <w:rPr>
          <w:rFonts w:ascii="Arial" w:hAnsi="Arial" w:cs="Arial"/>
          <w:spacing w:val="-2"/>
        </w:rPr>
        <w:t xml:space="preserve"> to ACL, and the more likely the need for a comprehensive review. </w:t>
      </w:r>
    </w:p>
    <w:p w14:paraId="659F04EF" w14:textId="77777777" w:rsidR="00E95236" w:rsidRPr="00FF1A66" w:rsidRDefault="00E95236" w:rsidP="00A511EF">
      <w:pPr>
        <w:pStyle w:val="BodyText"/>
        <w:spacing w:line="273" w:lineRule="auto"/>
        <w:ind w:left="0" w:right="410"/>
        <w:rPr>
          <w:rFonts w:ascii="Arial" w:hAnsi="Arial" w:cs="Arial"/>
          <w:spacing w:val="-2"/>
        </w:rPr>
      </w:pPr>
    </w:p>
    <w:p w14:paraId="3612F4E9" w14:textId="1862FAB3" w:rsidR="00240CB5" w:rsidRDefault="00240CB5" w:rsidP="00E95236">
      <w:pPr>
        <w:pStyle w:val="Heading2"/>
        <w:spacing w:before="0" w:after="120" w:line="240" w:lineRule="auto"/>
        <w:rPr>
          <w:rFonts w:ascii="Arial" w:hAnsi="Arial" w:cs="Arial"/>
          <w:b/>
          <w:bCs/>
          <w:color w:val="4472C4" w:themeColor="accent1"/>
          <w:sz w:val="24"/>
          <w:szCs w:val="24"/>
        </w:rPr>
      </w:pPr>
      <w:r w:rsidRPr="4AAFA41C">
        <w:rPr>
          <w:rFonts w:ascii="Arial" w:hAnsi="Arial" w:cs="Arial"/>
          <w:b/>
          <w:bCs/>
          <w:color w:val="4472C4" w:themeColor="accent1"/>
          <w:sz w:val="24"/>
          <w:szCs w:val="24"/>
        </w:rPr>
        <w:t>Overview of Comprehensive Review Process and Estimated Timeline</w:t>
      </w:r>
    </w:p>
    <w:tbl>
      <w:tblPr>
        <w:tblStyle w:val="TableGrid"/>
        <w:tblW w:w="7645" w:type="dxa"/>
        <w:jc w:val="center"/>
        <w:tblLook w:val="04A0" w:firstRow="1" w:lastRow="0" w:firstColumn="1" w:lastColumn="0" w:noHBand="0" w:noVBand="1"/>
      </w:tblPr>
      <w:tblGrid>
        <w:gridCol w:w="720"/>
        <w:gridCol w:w="1861"/>
        <w:gridCol w:w="3216"/>
        <w:gridCol w:w="1848"/>
      </w:tblGrid>
      <w:tr w:rsidR="007A4DF4" w:rsidRPr="006363E4" w14:paraId="19D19A13" w14:textId="77777777" w:rsidTr="4AAFA41C">
        <w:trPr>
          <w:trHeight w:val="300"/>
          <w:jc w:val="center"/>
        </w:trPr>
        <w:tc>
          <w:tcPr>
            <w:tcW w:w="720" w:type="dxa"/>
          </w:tcPr>
          <w:p w14:paraId="5605E225" w14:textId="27CD7E45" w:rsidR="007A4DF4" w:rsidRPr="00FF1A66" w:rsidRDefault="007A4DF4" w:rsidP="4AAFA41C">
            <w:pPr>
              <w:rPr>
                <w:rFonts w:ascii="Arial" w:hAnsi="Arial" w:cs="Arial"/>
              </w:rPr>
            </w:pPr>
            <w:r w:rsidRPr="4AAFA41C">
              <w:rPr>
                <w:rFonts w:ascii="Arial" w:hAnsi="Arial" w:cs="Arial"/>
              </w:rPr>
              <w:t>Step</w:t>
            </w:r>
          </w:p>
        </w:tc>
        <w:tc>
          <w:tcPr>
            <w:tcW w:w="1861" w:type="dxa"/>
          </w:tcPr>
          <w:p w14:paraId="3AC18BDE" w14:textId="5F1A217B" w:rsidR="007A4DF4" w:rsidRPr="00FF1A66" w:rsidRDefault="007A4DF4" w:rsidP="4AAFA41C">
            <w:pPr>
              <w:rPr>
                <w:rFonts w:ascii="Arial" w:hAnsi="Arial" w:cs="Arial"/>
              </w:rPr>
            </w:pPr>
            <w:r w:rsidRPr="4AAFA41C">
              <w:rPr>
                <w:rFonts w:ascii="Arial" w:hAnsi="Arial" w:cs="Arial"/>
              </w:rPr>
              <w:t>Action</w:t>
            </w:r>
          </w:p>
        </w:tc>
        <w:tc>
          <w:tcPr>
            <w:tcW w:w="3216" w:type="dxa"/>
          </w:tcPr>
          <w:p w14:paraId="2E1FA91A" w14:textId="74DFE2D3" w:rsidR="007A4DF4" w:rsidRPr="00FF1A66" w:rsidRDefault="007A4DF4" w:rsidP="4AAFA41C">
            <w:pPr>
              <w:rPr>
                <w:rFonts w:ascii="Arial" w:hAnsi="Arial" w:cs="Arial"/>
              </w:rPr>
            </w:pPr>
            <w:r w:rsidRPr="4AAFA41C">
              <w:rPr>
                <w:rFonts w:ascii="Arial" w:hAnsi="Arial" w:cs="Arial"/>
              </w:rPr>
              <w:t>Description</w:t>
            </w:r>
          </w:p>
        </w:tc>
        <w:tc>
          <w:tcPr>
            <w:tcW w:w="1848" w:type="dxa"/>
          </w:tcPr>
          <w:p w14:paraId="0FA7220A" w14:textId="1D08D476" w:rsidR="007A4DF4" w:rsidRPr="00FF1A66" w:rsidRDefault="007A4DF4" w:rsidP="4AAFA41C">
            <w:pPr>
              <w:rPr>
                <w:rFonts w:ascii="Arial" w:hAnsi="Arial" w:cs="Arial"/>
              </w:rPr>
            </w:pPr>
            <w:r w:rsidRPr="4AAFA41C">
              <w:rPr>
                <w:rFonts w:ascii="Arial" w:hAnsi="Arial" w:cs="Arial"/>
              </w:rPr>
              <w:t>Timeline</w:t>
            </w:r>
          </w:p>
        </w:tc>
      </w:tr>
      <w:tr w:rsidR="007A4DF4" w:rsidRPr="006363E4" w14:paraId="6116C49E" w14:textId="77777777" w:rsidTr="4AAFA41C">
        <w:trPr>
          <w:trHeight w:val="300"/>
          <w:jc w:val="center"/>
        </w:trPr>
        <w:tc>
          <w:tcPr>
            <w:tcW w:w="720" w:type="dxa"/>
          </w:tcPr>
          <w:p w14:paraId="2732006B" w14:textId="7BA013A6" w:rsidR="007A4DF4" w:rsidRPr="00FF1A66" w:rsidRDefault="007A4DF4" w:rsidP="4AAFA41C">
            <w:pPr>
              <w:rPr>
                <w:rFonts w:ascii="Arial" w:hAnsi="Arial" w:cs="Arial"/>
              </w:rPr>
            </w:pPr>
            <w:r w:rsidRPr="4AAFA41C">
              <w:rPr>
                <w:rFonts w:ascii="Arial" w:hAnsi="Arial" w:cs="Arial"/>
              </w:rPr>
              <w:t>1</w:t>
            </w:r>
          </w:p>
        </w:tc>
        <w:tc>
          <w:tcPr>
            <w:tcW w:w="1861" w:type="dxa"/>
          </w:tcPr>
          <w:p w14:paraId="4446D513" w14:textId="4CB587CE" w:rsidR="007A4DF4" w:rsidRPr="00FF1A66" w:rsidRDefault="007A4DF4" w:rsidP="4AAFA41C">
            <w:pPr>
              <w:rPr>
                <w:rFonts w:ascii="Arial" w:hAnsi="Arial" w:cs="Arial"/>
              </w:rPr>
            </w:pPr>
            <w:r w:rsidRPr="4AAFA41C">
              <w:rPr>
                <w:rFonts w:ascii="Arial" w:hAnsi="Arial" w:cs="Arial"/>
              </w:rPr>
              <w:t>Monitoring Notification</w:t>
            </w:r>
          </w:p>
        </w:tc>
        <w:tc>
          <w:tcPr>
            <w:tcW w:w="3216" w:type="dxa"/>
          </w:tcPr>
          <w:p w14:paraId="6C690953" w14:textId="4D160C29" w:rsidR="007A4DF4" w:rsidRPr="00FF1A66" w:rsidRDefault="009F48F2" w:rsidP="4AAFA41C">
            <w:pPr>
              <w:rPr>
                <w:rFonts w:ascii="Arial" w:hAnsi="Arial" w:cs="Arial"/>
              </w:rPr>
            </w:pPr>
            <w:r w:rsidRPr="4AAFA41C">
              <w:rPr>
                <w:rFonts w:ascii="Arial" w:hAnsi="Arial" w:cs="Arial"/>
              </w:rPr>
              <w:t>ACL</w:t>
            </w:r>
            <w:r w:rsidR="002770B2" w:rsidRPr="4AAFA41C">
              <w:rPr>
                <w:rFonts w:ascii="Arial" w:hAnsi="Arial" w:cs="Arial"/>
              </w:rPr>
              <w:t xml:space="preserve"> staff i</w:t>
            </w:r>
            <w:r w:rsidR="007A4DF4" w:rsidRPr="4AAFA41C">
              <w:rPr>
                <w:rFonts w:ascii="Arial" w:hAnsi="Arial" w:cs="Arial"/>
              </w:rPr>
              <w:t xml:space="preserve">dentifies reason for monitoring and </w:t>
            </w:r>
            <w:r w:rsidR="00AA36FA" w:rsidRPr="4AAFA41C">
              <w:rPr>
                <w:rFonts w:ascii="Arial" w:hAnsi="Arial" w:cs="Arial"/>
              </w:rPr>
              <w:t xml:space="preserve">schedules introductory meeting with the grantee </w:t>
            </w:r>
          </w:p>
        </w:tc>
        <w:tc>
          <w:tcPr>
            <w:tcW w:w="1848" w:type="dxa"/>
          </w:tcPr>
          <w:p w14:paraId="186ED454" w14:textId="17809ADC" w:rsidR="007A4DF4" w:rsidRPr="00FF1A66" w:rsidRDefault="0061373C" w:rsidP="4AAFA41C">
            <w:pPr>
              <w:rPr>
                <w:rFonts w:ascii="Arial" w:hAnsi="Arial" w:cs="Arial"/>
              </w:rPr>
            </w:pPr>
            <w:r w:rsidRPr="4AAFA41C">
              <w:rPr>
                <w:rFonts w:ascii="Arial" w:hAnsi="Arial" w:cs="Arial"/>
              </w:rPr>
              <w:t>Planned over the year</w:t>
            </w:r>
          </w:p>
        </w:tc>
      </w:tr>
      <w:tr w:rsidR="007A4DF4" w:rsidRPr="006363E4" w14:paraId="57850BF3" w14:textId="77777777" w:rsidTr="4AAFA41C">
        <w:trPr>
          <w:trHeight w:val="300"/>
          <w:jc w:val="center"/>
        </w:trPr>
        <w:tc>
          <w:tcPr>
            <w:tcW w:w="720" w:type="dxa"/>
          </w:tcPr>
          <w:p w14:paraId="64C0586A" w14:textId="4845800B" w:rsidR="007A4DF4" w:rsidRPr="00FF1A66" w:rsidRDefault="007A4DF4" w:rsidP="4AAFA41C">
            <w:pPr>
              <w:rPr>
                <w:rFonts w:ascii="Arial" w:hAnsi="Arial" w:cs="Arial"/>
              </w:rPr>
            </w:pPr>
            <w:r w:rsidRPr="4AAFA41C">
              <w:rPr>
                <w:rFonts w:ascii="Arial" w:hAnsi="Arial" w:cs="Arial"/>
              </w:rPr>
              <w:lastRenderedPageBreak/>
              <w:t>2</w:t>
            </w:r>
          </w:p>
        </w:tc>
        <w:tc>
          <w:tcPr>
            <w:tcW w:w="1861" w:type="dxa"/>
          </w:tcPr>
          <w:p w14:paraId="420CC030" w14:textId="5B601301" w:rsidR="007A4DF4" w:rsidRPr="00FF1A66" w:rsidRDefault="007A4DF4" w:rsidP="4AAFA41C">
            <w:pPr>
              <w:rPr>
                <w:rFonts w:ascii="Arial" w:hAnsi="Arial" w:cs="Arial"/>
              </w:rPr>
            </w:pPr>
            <w:r w:rsidRPr="4AAFA41C">
              <w:rPr>
                <w:rFonts w:ascii="Arial" w:hAnsi="Arial" w:cs="Arial"/>
              </w:rPr>
              <w:t>Introductory Meeting</w:t>
            </w:r>
          </w:p>
        </w:tc>
        <w:tc>
          <w:tcPr>
            <w:tcW w:w="3216" w:type="dxa"/>
          </w:tcPr>
          <w:p w14:paraId="7E35B791" w14:textId="037023EC" w:rsidR="007A4DF4" w:rsidRPr="00FF1A66" w:rsidRDefault="00565BCC" w:rsidP="4AAFA41C">
            <w:pPr>
              <w:rPr>
                <w:rFonts w:ascii="Arial" w:hAnsi="Arial" w:cs="Arial"/>
              </w:rPr>
            </w:pPr>
            <w:r w:rsidRPr="4AAFA41C">
              <w:rPr>
                <w:rFonts w:ascii="Arial" w:hAnsi="Arial" w:cs="Arial"/>
              </w:rPr>
              <w:t xml:space="preserve">Answer grantee questions; </w:t>
            </w:r>
            <w:r w:rsidR="002770B2" w:rsidRPr="4AAFA41C">
              <w:rPr>
                <w:rFonts w:ascii="Arial" w:hAnsi="Arial" w:cs="Arial"/>
              </w:rPr>
              <w:t>D</w:t>
            </w:r>
            <w:r w:rsidR="007A4DF4" w:rsidRPr="4AAFA41C">
              <w:rPr>
                <w:rFonts w:ascii="Arial" w:hAnsi="Arial" w:cs="Arial"/>
              </w:rPr>
              <w:t>iscuss next steps</w:t>
            </w:r>
            <w:r w:rsidRPr="4AAFA41C">
              <w:rPr>
                <w:rFonts w:ascii="Arial" w:hAnsi="Arial" w:cs="Arial"/>
              </w:rPr>
              <w:t xml:space="preserve">; </w:t>
            </w:r>
            <w:r w:rsidR="007A4DF4" w:rsidRPr="4AAFA41C">
              <w:rPr>
                <w:rFonts w:ascii="Arial" w:hAnsi="Arial" w:cs="Arial"/>
              </w:rPr>
              <w:t>provide an overview of requested documentation</w:t>
            </w:r>
          </w:p>
        </w:tc>
        <w:tc>
          <w:tcPr>
            <w:tcW w:w="1848" w:type="dxa"/>
          </w:tcPr>
          <w:p w14:paraId="67C6C973" w14:textId="4B376AC4" w:rsidR="007A4DF4" w:rsidRPr="00FF1A66" w:rsidRDefault="00C205F6" w:rsidP="4AAFA41C">
            <w:pPr>
              <w:rPr>
                <w:rFonts w:ascii="Arial" w:hAnsi="Arial" w:cs="Arial"/>
              </w:rPr>
            </w:pPr>
            <w:r w:rsidRPr="4AAFA41C">
              <w:rPr>
                <w:rFonts w:ascii="Arial" w:hAnsi="Arial" w:cs="Arial"/>
              </w:rPr>
              <w:t>Based on grantee availability</w:t>
            </w:r>
          </w:p>
        </w:tc>
      </w:tr>
      <w:tr w:rsidR="007A4DF4" w:rsidRPr="006363E4" w14:paraId="5539776A" w14:textId="77777777" w:rsidTr="4AAFA41C">
        <w:trPr>
          <w:trHeight w:val="300"/>
          <w:jc w:val="center"/>
        </w:trPr>
        <w:tc>
          <w:tcPr>
            <w:tcW w:w="720" w:type="dxa"/>
          </w:tcPr>
          <w:p w14:paraId="2274DC61" w14:textId="7FFA70DD" w:rsidR="007A4DF4" w:rsidRPr="00FF1A66" w:rsidRDefault="007A4DF4" w:rsidP="4AAFA41C">
            <w:pPr>
              <w:rPr>
                <w:rFonts w:ascii="Arial" w:hAnsi="Arial" w:cs="Arial"/>
              </w:rPr>
            </w:pPr>
            <w:r w:rsidRPr="4AAFA41C">
              <w:rPr>
                <w:rFonts w:ascii="Arial" w:hAnsi="Arial" w:cs="Arial"/>
              </w:rPr>
              <w:t>3</w:t>
            </w:r>
          </w:p>
        </w:tc>
        <w:tc>
          <w:tcPr>
            <w:tcW w:w="1861" w:type="dxa"/>
          </w:tcPr>
          <w:p w14:paraId="7837476E" w14:textId="6B737757" w:rsidR="007A4DF4" w:rsidRPr="00FF1A66" w:rsidRDefault="007A4DF4" w:rsidP="4AAFA41C">
            <w:pPr>
              <w:rPr>
                <w:rFonts w:ascii="Arial" w:hAnsi="Arial" w:cs="Arial"/>
              </w:rPr>
            </w:pPr>
            <w:r w:rsidRPr="4AAFA41C">
              <w:rPr>
                <w:rFonts w:ascii="Arial" w:hAnsi="Arial" w:cs="Arial"/>
              </w:rPr>
              <w:t>Information Request/review</w:t>
            </w:r>
          </w:p>
        </w:tc>
        <w:tc>
          <w:tcPr>
            <w:tcW w:w="3216" w:type="dxa"/>
          </w:tcPr>
          <w:p w14:paraId="7BBC5120" w14:textId="08277CCF" w:rsidR="007A4DF4" w:rsidRPr="00FF1A66" w:rsidRDefault="009E1002" w:rsidP="4AAFA41C">
            <w:pPr>
              <w:rPr>
                <w:rFonts w:ascii="Arial" w:hAnsi="Arial" w:cs="Arial"/>
              </w:rPr>
            </w:pPr>
            <w:r w:rsidRPr="4AAFA41C">
              <w:rPr>
                <w:rFonts w:ascii="Arial" w:hAnsi="Arial" w:cs="Arial"/>
              </w:rPr>
              <w:t>G</w:t>
            </w:r>
            <w:r w:rsidR="007A4DF4" w:rsidRPr="4AAFA41C">
              <w:rPr>
                <w:rFonts w:ascii="Arial" w:hAnsi="Arial" w:cs="Arial"/>
              </w:rPr>
              <w:t>rantee will submit requested documents</w:t>
            </w:r>
            <w:r w:rsidR="00565BCC" w:rsidRPr="4AAFA41C">
              <w:rPr>
                <w:rFonts w:ascii="Arial" w:hAnsi="Arial" w:cs="Arial"/>
              </w:rPr>
              <w:t xml:space="preserve"> (fiscal and/or programmatic)</w:t>
            </w:r>
            <w:r w:rsidR="007A4DF4" w:rsidRPr="4AAFA41C">
              <w:rPr>
                <w:rFonts w:ascii="Arial" w:hAnsi="Arial" w:cs="Arial"/>
              </w:rPr>
              <w:t xml:space="preserve">. </w:t>
            </w:r>
          </w:p>
        </w:tc>
        <w:tc>
          <w:tcPr>
            <w:tcW w:w="1848" w:type="dxa"/>
          </w:tcPr>
          <w:p w14:paraId="321D7262" w14:textId="25BD9652" w:rsidR="007A4DF4" w:rsidRPr="00FF1A66" w:rsidRDefault="7812C396" w:rsidP="4AAFA41C">
            <w:pPr>
              <w:rPr>
                <w:rFonts w:ascii="Arial" w:hAnsi="Arial" w:cs="Arial"/>
              </w:rPr>
            </w:pPr>
            <w:r w:rsidRPr="4AAFA41C">
              <w:rPr>
                <w:rFonts w:ascii="Arial" w:hAnsi="Arial" w:cs="Arial"/>
              </w:rPr>
              <w:t xml:space="preserve">Up to </w:t>
            </w:r>
            <w:r w:rsidR="698508BE" w:rsidRPr="4AAFA41C">
              <w:rPr>
                <w:rFonts w:ascii="Arial" w:hAnsi="Arial" w:cs="Arial"/>
              </w:rPr>
              <w:t xml:space="preserve">3 </w:t>
            </w:r>
            <w:r w:rsidRPr="4AAFA41C">
              <w:rPr>
                <w:rFonts w:ascii="Arial" w:hAnsi="Arial" w:cs="Arial"/>
              </w:rPr>
              <w:t xml:space="preserve">weeks </w:t>
            </w:r>
            <w:r w:rsidR="5E0F7C47" w:rsidRPr="4AAFA41C">
              <w:rPr>
                <w:rFonts w:ascii="Arial" w:hAnsi="Arial" w:cs="Arial"/>
              </w:rPr>
              <w:t>before</w:t>
            </w:r>
            <w:r w:rsidRPr="4AAFA41C">
              <w:rPr>
                <w:rFonts w:ascii="Arial" w:hAnsi="Arial" w:cs="Arial"/>
              </w:rPr>
              <w:t xml:space="preserve"> </w:t>
            </w:r>
            <w:r w:rsidR="007B09CB" w:rsidRPr="4AAFA41C">
              <w:rPr>
                <w:rFonts w:ascii="Arial" w:hAnsi="Arial" w:cs="Arial"/>
              </w:rPr>
              <w:t xml:space="preserve">monitoring event </w:t>
            </w:r>
            <w:r w:rsidRPr="4AAFA41C">
              <w:rPr>
                <w:rFonts w:ascii="Arial" w:hAnsi="Arial" w:cs="Arial"/>
              </w:rPr>
              <w:t>date</w:t>
            </w:r>
          </w:p>
        </w:tc>
      </w:tr>
      <w:tr w:rsidR="006363E4" w:rsidRPr="006363E4" w14:paraId="462FF120" w14:textId="77777777" w:rsidTr="4AAFA41C">
        <w:trPr>
          <w:trHeight w:val="300"/>
          <w:jc w:val="center"/>
        </w:trPr>
        <w:tc>
          <w:tcPr>
            <w:tcW w:w="720" w:type="dxa"/>
          </w:tcPr>
          <w:p w14:paraId="45D724F3" w14:textId="3110ECC1" w:rsidR="006363E4" w:rsidRPr="00FF1A66" w:rsidRDefault="006363E4" w:rsidP="4AAFA41C">
            <w:pPr>
              <w:rPr>
                <w:rFonts w:ascii="Arial" w:hAnsi="Arial" w:cs="Arial"/>
              </w:rPr>
            </w:pPr>
            <w:r w:rsidRPr="4AAFA41C">
              <w:rPr>
                <w:rFonts w:ascii="Arial" w:hAnsi="Arial" w:cs="Arial"/>
              </w:rPr>
              <w:t>4</w:t>
            </w:r>
          </w:p>
        </w:tc>
        <w:tc>
          <w:tcPr>
            <w:tcW w:w="1861" w:type="dxa"/>
          </w:tcPr>
          <w:p w14:paraId="69B15112" w14:textId="5E31CA55" w:rsidR="006363E4" w:rsidRPr="00FF1A66" w:rsidRDefault="006363E4" w:rsidP="4AAFA41C">
            <w:pPr>
              <w:rPr>
                <w:rFonts w:ascii="Arial" w:hAnsi="Arial" w:cs="Arial"/>
              </w:rPr>
            </w:pPr>
            <w:r w:rsidRPr="4AAFA41C">
              <w:rPr>
                <w:rFonts w:ascii="Arial" w:hAnsi="Arial" w:cs="Arial"/>
              </w:rPr>
              <w:t>Monitoring Event</w:t>
            </w:r>
          </w:p>
        </w:tc>
        <w:tc>
          <w:tcPr>
            <w:tcW w:w="3216" w:type="dxa"/>
          </w:tcPr>
          <w:p w14:paraId="528014BA" w14:textId="2F5FB17F" w:rsidR="006363E4" w:rsidRPr="00FF1A66" w:rsidRDefault="006363E4" w:rsidP="4AAFA41C">
            <w:pPr>
              <w:rPr>
                <w:rFonts w:ascii="Arial" w:hAnsi="Arial" w:cs="Arial"/>
              </w:rPr>
            </w:pPr>
            <w:r w:rsidRPr="4AAFA41C">
              <w:rPr>
                <w:rFonts w:ascii="Arial" w:hAnsi="Arial" w:cs="Arial"/>
              </w:rPr>
              <w:t xml:space="preserve">The monitoring event is composed of an entrance conference, </w:t>
            </w:r>
            <w:r w:rsidR="0038152E">
              <w:rPr>
                <w:rFonts w:ascii="Arial" w:hAnsi="Arial" w:cs="Arial"/>
              </w:rPr>
              <w:t xml:space="preserve">State of the CIL presentation, </w:t>
            </w:r>
            <w:r w:rsidRPr="4AAFA41C">
              <w:rPr>
                <w:rFonts w:ascii="Arial" w:hAnsi="Arial" w:cs="Arial"/>
              </w:rPr>
              <w:t>interviews with board, staff, consumers and/or community partners, document collection, and an exit conference. ACL may follow up after the exit conference if additional documentation is needed.</w:t>
            </w:r>
          </w:p>
        </w:tc>
        <w:tc>
          <w:tcPr>
            <w:tcW w:w="1848" w:type="dxa"/>
          </w:tcPr>
          <w:p w14:paraId="16A800B6" w14:textId="2C6EE939" w:rsidR="006363E4" w:rsidRPr="00FF1A66" w:rsidRDefault="006363E4" w:rsidP="4AAFA41C">
            <w:pPr>
              <w:rPr>
                <w:rFonts w:ascii="Arial" w:hAnsi="Arial" w:cs="Arial"/>
              </w:rPr>
            </w:pPr>
            <w:r w:rsidRPr="4AAFA41C">
              <w:rPr>
                <w:rFonts w:ascii="Arial" w:hAnsi="Arial" w:cs="Arial"/>
              </w:rPr>
              <w:t>1 month after introductory meeting</w:t>
            </w:r>
          </w:p>
        </w:tc>
      </w:tr>
      <w:tr w:rsidR="007A4DF4" w:rsidRPr="006363E4" w14:paraId="40B0344D" w14:textId="77777777" w:rsidTr="4AAFA41C">
        <w:trPr>
          <w:trHeight w:val="1439"/>
          <w:jc w:val="center"/>
        </w:trPr>
        <w:tc>
          <w:tcPr>
            <w:tcW w:w="720" w:type="dxa"/>
          </w:tcPr>
          <w:p w14:paraId="2FC2B2F5" w14:textId="7FD4F110" w:rsidR="007A4DF4" w:rsidRPr="00FF1A66" w:rsidRDefault="006363E4" w:rsidP="4AAFA41C">
            <w:pPr>
              <w:rPr>
                <w:rFonts w:ascii="Arial" w:hAnsi="Arial" w:cs="Arial"/>
              </w:rPr>
            </w:pPr>
            <w:r w:rsidRPr="4AAFA41C">
              <w:rPr>
                <w:rFonts w:ascii="Arial" w:hAnsi="Arial" w:cs="Arial"/>
              </w:rPr>
              <w:t>5</w:t>
            </w:r>
          </w:p>
        </w:tc>
        <w:tc>
          <w:tcPr>
            <w:tcW w:w="1861" w:type="dxa"/>
          </w:tcPr>
          <w:p w14:paraId="5B5839F1" w14:textId="037B3EAA" w:rsidR="007A4DF4" w:rsidRPr="00FF1A66" w:rsidRDefault="00D34194" w:rsidP="4AAFA41C">
            <w:pPr>
              <w:rPr>
                <w:rFonts w:ascii="Arial" w:hAnsi="Arial" w:cs="Arial"/>
              </w:rPr>
            </w:pPr>
            <w:r w:rsidRPr="4AAFA41C">
              <w:rPr>
                <w:rFonts w:ascii="Arial" w:hAnsi="Arial" w:cs="Arial"/>
              </w:rPr>
              <w:t>M</w:t>
            </w:r>
            <w:r w:rsidR="007A4DF4" w:rsidRPr="4AAFA41C">
              <w:rPr>
                <w:rFonts w:ascii="Arial" w:hAnsi="Arial" w:cs="Arial"/>
              </w:rPr>
              <w:t xml:space="preserve">onitoring </w:t>
            </w:r>
            <w:r w:rsidR="00846581" w:rsidRPr="4AAFA41C">
              <w:rPr>
                <w:rFonts w:ascii="Arial" w:hAnsi="Arial" w:cs="Arial"/>
              </w:rPr>
              <w:t xml:space="preserve">event report </w:t>
            </w:r>
            <w:r w:rsidR="007A4DF4" w:rsidRPr="4AAFA41C">
              <w:rPr>
                <w:rFonts w:ascii="Arial" w:hAnsi="Arial" w:cs="Arial"/>
              </w:rPr>
              <w:t>meeting</w:t>
            </w:r>
          </w:p>
        </w:tc>
        <w:tc>
          <w:tcPr>
            <w:tcW w:w="3216" w:type="dxa"/>
          </w:tcPr>
          <w:p w14:paraId="62B3C3B1" w14:textId="680AF76B" w:rsidR="007A4DF4" w:rsidRPr="00FF1A66" w:rsidRDefault="007A4DF4" w:rsidP="4AAFA41C">
            <w:pPr>
              <w:rPr>
                <w:rFonts w:ascii="Arial" w:hAnsi="Arial" w:cs="Arial"/>
              </w:rPr>
            </w:pPr>
            <w:r w:rsidRPr="4AAFA41C">
              <w:rPr>
                <w:rFonts w:ascii="Arial" w:hAnsi="Arial" w:cs="Arial"/>
              </w:rPr>
              <w:t>Discuss review</w:t>
            </w:r>
            <w:r w:rsidR="001C1F8A" w:rsidRPr="4AAFA41C">
              <w:rPr>
                <w:rFonts w:ascii="Arial" w:hAnsi="Arial" w:cs="Arial"/>
              </w:rPr>
              <w:t xml:space="preserve"> findings</w:t>
            </w:r>
            <w:r w:rsidR="0061373C" w:rsidRPr="4AAFA41C">
              <w:rPr>
                <w:rFonts w:ascii="Arial" w:hAnsi="Arial" w:cs="Arial"/>
              </w:rPr>
              <w:t xml:space="preserve"> and grantee response</w:t>
            </w:r>
            <w:r w:rsidRPr="4AAFA41C">
              <w:rPr>
                <w:rFonts w:ascii="Arial" w:hAnsi="Arial" w:cs="Arial"/>
              </w:rPr>
              <w:t>; determine need for corrective action; connect with appropriate TA provider</w:t>
            </w:r>
          </w:p>
        </w:tc>
        <w:tc>
          <w:tcPr>
            <w:tcW w:w="1848" w:type="dxa"/>
          </w:tcPr>
          <w:p w14:paraId="05535F64" w14:textId="79888552" w:rsidR="007A4DF4" w:rsidRPr="00FF1A66" w:rsidRDefault="00674F29" w:rsidP="4AAFA41C">
            <w:pPr>
              <w:rPr>
                <w:rFonts w:ascii="Arial" w:hAnsi="Arial" w:cs="Arial"/>
              </w:rPr>
            </w:pPr>
            <w:r w:rsidRPr="4AAFA41C">
              <w:rPr>
                <w:rFonts w:ascii="Arial" w:hAnsi="Arial" w:cs="Arial"/>
              </w:rPr>
              <w:t xml:space="preserve">Approximately </w:t>
            </w:r>
            <w:r w:rsidR="004C1177" w:rsidRPr="4AAFA41C">
              <w:rPr>
                <w:rFonts w:ascii="Arial" w:hAnsi="Arial" w:cs="Arial"/>
              </w:rPr>
              <w:t>six months of the monitoring event</w:t>
            </w:r>
          </w:p>
        </w:tc>
      </w:tr>
      <w:tr w:rsidR="007A4DF4" w:rsidRPr="006363E4" w14:paraId="37900588" w14:textId="77777777" w:rsidTr="4AAFA41C">
        <w:trPr>
          <w:trHeight w:val="300"/>
          <w:jc w:val="center"/>
        </w:trPr>
        <w:tc>
          <w:tcPr>
            <w:tcW w:w="720" w:type="dxa"/>
          </w:tcPr>
          <w:p w14:paraId="2B45EC19" w14:textId="2730E53B" w:rsidR="007A4DF4" w:rsidRPr="00FF1A66" w:rsidRDefault="006363E4" w:rsidP="4AAFA41C">
            <w:pPr>
              <w:rPr>
                <w:rFonts w:ascii="Arial" w:hAnsi="Arial" w:cs="Arial"/>
              </w:rPr>
            </w:pPr>
            <w:r w:rsidRPr="4AAFA41C">
              <w:rPr>
                <w:rFonts w:ascii="Arial" w:hAnsi="Arial" w:cs="Arial"/>
              </w:rPr>
              <w:t>6</w:t>
            </w:r>
          </w:p>
        </w:tc>
        <w:tc>
          <w:tcPr>
            <w:tcW w:w="1861" w:type="dxa"/>
          </w:tcPr>
          <w:p w14:paraId="347F457D" w14:textId="25C77EC6" w:rsidR="007A4DF4" w:rsidRPr="00FF1A66" w:rsidRDefault="007A4DF4" w:rsidP="4AAFA41C">
            <w:pPr>
              <w:rPr>
                <w:rFonts w:ascii="Arial" w:hAnsi="Arial" w:cs="Arial"/>
              </w:rPr>
            </w:pPr>
            <w:r w:rsidRPr="4AAFA41C">
              <w:rPr>
                <w:rFonts w:ascii="Arial" w:hAnsi="Arial" w:cs="Arial"/>
              </w:rPr>
              <w:t>CAP Development</w:t>
            </w:r>
          </w:p>
        </w:tc>
        <w:tc>
          <w:tcPr>
            <w:tcW w:w="3216" w:type="dxa"/>
          </w:tcPr>
          <w:p w14:paraId="11998E0D" w14:textId="5F1C97B2" w:rsidR="007A4DF4" w:rsidRPr="00FF1A66" w:rsidRDefault="4E9DE87E" w:rsidP="4AAFA41C">
            <w:pPr>
              <w:rPr>
                <w:rFonts w:ascii="Arial" w:hAnsi="Arial" w:cs="Arial"/>
              </w:rPr>
            </w:pPr>
            <w:r w:rsidRPr="4AAFA41C">
              <w:rPr>
                <w:rFonts w:ascii="Arial" w:hAnsi="Arial" w:cs="Arial"/>
              </w:rPr>
              <w:t>With s</w:t>
            </w:r>
            <w:r w:rsidR="7812C396" w:rsidRPr="4AAFA41C">
              <w:rPr>
                <w:rFonts w:ascii="Arial" w:hAnsi="Arial" w:cs="Arial"/>
              </w:rPr>
              <w:t xml:space="preserve">upport </w:t>
            </w:r>
            <w:r w:rsidR="15A669E8" w:rsidRPr="4AAFA41C">
              <w:rPr>
                <w:rFonts w:ascii="Arial" w:hAnsi="Arial" w:cs="Arial"/>
              </w:rPr>
              <w:t>from</w:t>
            </w:r>
            <w:r w:rsidR="7812C396" w:rsidRPr="4AAFA41C">
              <w:rPr>
                <w:rFonts w:ascii="Arial" w:hAnsi="Arial" w:cs="Arial"/>
              </w:rPr>
              <w:t xml:space="preserve"> TA provider</w:t>
            </w:r>
            <w:r w:rsidR="698508BE" w:rsidRPr="4AAFA41C">
              <w:rPr>
                <w:rFonts w:ascii="Arial" w:hAnsi="Arial" w:cs="Arial"/>
              </w:rPr>
              <w:t>s</w:t>
            </w:r>
            <w:r w:rsidR="75CAF2C3" w:rsidRPr="4AAFA41C">
              <w:rPr>
                <w:rFonts w:ascii="Arial" w:hAnsi="Arial" w:cs="Arial"/>
              </w:rPr>
              <w:t xml:space="preserve"> as needed</w:t>
            </w:r>
            <w:r w:rsidR="7812C396" w:rsidRPr="4AAFA41C">
              <w:rPr>
                <w:rFonts w:ascii="Arial" w:hAnsi="Arial" w:cs="Arial"/>
              </w:rPr>
              <w:t>, grantee develop</w:t>
            </w:r>
            <w:r w:rsidR="5CDAF40E" w:rsidRPr="4AAFA41C">
              <w:rPr>
                <w:rFonts w:ascii="Arial" w:hAnsi="Arial" w:cs="Arial"/>
              </w:rPr>
              <w:t>s</w:t>
            </w:r>
            <w:r w:rsidR="7812C396" w:rsidRPr="4AAFA41C">
              <w:rPr>
                <w:rFonts w:ascii="Arial" w:hAnsi="Arial" w:cs="Arial"/>
              </w:rPr>
              <w:t xml:space="preserve"> CAP </w:t>
            </w:r>
            <w:r w:rsidR="698508BE" w:rsidRPr="4AAFA41C">
              <w:rPr>
                <w:rFonts w:ascii="Arial" w:hAnsi="Arial" w:cs="Arial"/>
              </w:rPr>
              <w:t xml:space="preserve">(including timelines) </w:t>
            </w:r>
            <w:r w:rsidR="7812C396" w:rsidRPr="4AAFA41C">
              <w:rPr>
                <w:rFonts w:ascii="Arial" w:hAnsi="Arial" w:cs="Arial"/>
              </w:rPr>
              <w:t>for approval.</w:t>
            </w:r>
          </w:p>
        </w:tc>
        <w:tc>
          <w:tcPr>
            <w:tcW w:w="1848" w:type="dxa"/>
          </w:tcPr>
          <w:p w14:paraId="3E1DBA71" w14:textId="123AF88C" w:rsidR="007A4DF4" w:rsidRPr="00FF1A66" w:rsidRDefault="0061373C" w:rsidP="4AAFA41C">
            <w:pPr>
              <w:rPr>
                <w:rFonts w:ascii="Arial" w:hAnsi="Arial" w:cs="Arial"/>
              </w:rPr>
            </w:pPr>
            <w:r w:rsidRPr="4AAFA41C">
              <w:rPr>
                <w:rFonts w:ascii="Arial" w:hAnsi="Arial" w:cs="Arial"/>
              </w:rPr>
              <w:t>W</w:t>
            </w:r>
            <w:r w:rsidR="63A951D1" w:rsidRPr="4AAFA41C">
              <w:rPr>
                <w:rFonts w:ascii="Arial" w:hAnsi="Arial" w:cs="Arial"/>
              </w:rPr>
              <w:t>ithin 30 days</w:t>
            </w:r>
            <w:r w:rsidRPr="4AAFA41C">
              <w:rPr>
                <w:rFonts w:ascii="Arial" w:hAnsi="Arial" w:cs="Arial"/>
              </w:rPr>
              <w:t xml:space="preserve"> of the draft report release</w:t>
            </w:r>
            <w:r w:rsidR="1F6DA048" w:rsidRPr="4AAFA41C">
              <w:rPr>
                <w:rFonts w:ascii="Arial" w:hAnsi="Arial" w:cs="Arial"/>
              </w:rPr>
              <w:t xml:space="preserve"> </w:t>
            </w:r>
          </w:p>
        </w:tc>
      </w:tr>
      <w:tr w:rsidR="007A4DF4" w:rsidRPr="006363E4" w14:paraId="1860361B" w14:textId="77777777" w:rsidTr="4AAFA41C">
        <w:trPr>
          <w:trHeight w:val="300"/>
          <w:jc w:val="center"/>
        </w:trPr>
        <w:tc>
          <w:tcPr>
            <w:tcW w:w="720" w:type="dxa"/>
          </w:tcPr>
          <w:p w14:paraId="5BB90CC3" w14:textId="19D6CA00" w:rsidR="007A4DF4" w:rsidRPr="00FF1A66" w:rsidRDefault="006363E4" w:rsidP="4AAFA41C">
            <w:pPr>
              <w:rPr>
                <w:rFonts w:ascii="Arial" w:hAnsi="Arial" w:cs="Arial"/>
              </w:rPr>
            </w:pPr>
            <w:r w:rsidRPr="4AAFA41C">
              <w:rPr>
                <w:rFonts w:ascii="Arial" w:hAnsi="Arial" w:cs="Arial"/>
              </w:rPr>
              <w:t>7</w:t>
            </w:r>
          </w:p>
        </w:tc>
        <w:tc>
          <w:tcPr>
            <w:tcW w:w="1861" w:type="dxa"/>
          </w:tcPr>
          <w:p w14:paraId="652B7379" w14:textId="3AD40309" w:rsidR="007A4DF4" w:rsidRPr="00FF1A66" w:rsidRDefault="007A4DF4" w:rsidP="4AAFA41C">
            <w:pPr>
              <w:rPr>
                <w:rFonts w:ascii="Arial" w:hAnsi="Arial" w:cs="Arial"/>
              </w:rPr>
            </w:pPr>
            <w:r w:rsidRPr="4AAFA41C">
              <w:rPr>
                <w:rFonts w:ascii="Arial" w:hAnsi="Arial" w:cs="Arial"/>
              </w:rPr>
              <w:t>CAP Approval Meeting</w:t>
            </w:r>
          </w:p>
        </w:tc>
        <w:tc>
          <w:tcPr>
            <w:tcW w:w="3216" w:type="dxa"/>
          </w:tcPr>
          <w:p w14:paraId="4EF9D29B" w14:textId="6AED7817" w:rsidR="007A4DF4" w:rsidRPr="00FF1A66" w:rsidRDefault="007A4DF4" w:rsidP="4AAFA41C">
            <w:pPr>
              <w:rPr>
                <w:rFonts w:ascii="Arial" w:hAnsi="Arial" w:cs="Arial"/>
              </w:rPr>
            </w:pPr>
            <w:r w:rsidRPr="4AAFA41C">
              <w:rPr>
                <w:rFonts w:ascii="Arial" w:hAnsi="Arial" w:cs="Arial"/>
              </w:rPr>
              <w:t>Including the TA provider, discuss final CAP</w:t>
            </w:r>
            <w:r w:rsidR="0061373C" w:rsidRPr="4AAFA41C">
              <w:rPr>
                <w:rFonts w:ascii="Arial" w:hAnsi="Arial" w:cs="Arial"/>
              </w:rPr>
              <w:t>; monitoring report published on ACL website</w:t>
            </w:r>
            <w:r w:rsidRPr="4AAFA41C">
              <w:rPr>
                <w:rFonts w:ascii="Arial" w:hAnsi="Arial" w:cs="Arial"/>
              </w:rPr>
              <w:t xml:space="preserve"> </w:t>
            </w:r>
          </w:p>
        </w:tc>
        <w:tc>
          <w:tcPr>
            <w:tcW w:w="1848" w:type="dxa"/>
          </w:tcPr>
          <w:p w14:paraId="72FC61F9" w14:textId="58C6EAC7" w:rsidR="007A4DF4" w:rsidRPr="00FF1A66" w:rsidRDefault="109717D2" w:rsidP="4AAFA41C">
            <w:pPr>
              <w:rPr>
                <w:rFonts w:ascii="Arial" w:hAnsi="Arial" w:cs="Arial"/>
              </w:rPr>
            </w:pPr>
            <w:r w:rsidRPr="4AAFA41C">
              <w:rPr>
                <w:rFonts w:ascii="Arial" w:hAnsi="Arial" w:cs="Arial"/>
              </w:rPr>
              <w:t>Within 30 days</w:t>
            </w:r>
            <w:r w:rsidR="00C205F6" w:rsidRPr="4AAFA41C">
              <w:rPr>
                <w:rFonts w:ascii="Arial" w:hAnsi="Arial" w:cs="Arial"/>
              </w:rPr>
              <w:t xml:space="preserve"> after CAP submission</w:t>
            </w:r>
            <w:r w:rsidR="54DF0577" w:rsidRPr="4AAFA41C">
              <w:rPr>
                <w:rFonts w:ascii="Arial" w:hAnsi="Arial" w:cs="Arial"/>
              </w:rPr>
              <w:t xml:space="preserve"> </w:t>
            </w:r>
          </w:p>
        </w:tc>
      </w:tr>
      <w:tr w:rsidR="007A4DF4" w:rsidRPr="006363E4" w14:paraId="7A1280EC" w14:textId="77777777" w:rsidTr="4AAFA41C">
        <w:trPr>
          <w:trHeight w:val="300"/>
          <w:jc w:val="center"/>
        </w:trPr>
        <w:tc>
          <w:tcPr>
            <w:tcW w:w="720" w:type="dxa"/>
          </w:tcPr>
          <w:p w14:paraId="6DADEE2D" w14:textId="60101300" w:rsidR="007A4DF4" w:rsidRPr="00FF1A66" w:rsidRDefault="006363E4" w:rsidP="4AAFA41C">
            <w:pPr>
              <w:rPr>
                <w:rFonts w:ascii="Arial" w:hAnsi="Arial" w:cs="Arial"/>
              </w:rPr>
            </w:pPr>
            <w:r w:rsidRPr="4AAFA41C">
              <w:rPr>
                <w:rFonts w:ascii="Arial" w:hAnsi="Arial" w:cs="Arial"/>
              </w:rPr>
              <w:t>8</w:t>
            </w:r>
          </w:p>
        </w:tc>
        <w:tc>
          <w:tcPr>
            <w:tcW w:w="1861" w:type="dxa"/>
          </w:tcPr>
          <w:p w14:paraId="449720FE" w14:textId="2306CC8B" w:rsidR="007A4DF4" w:rsidRPr="00FF1A66" w:rsidRDefault="007A4DF4" w:rsidP="4AAFA41C">
            <w:pPr>
              <w:rPr>
                <w:rFonts w:ascii="Arial" w:hAnsi="Arial" w:cs="Arial"/>
              </w:rPr>
            </w:pPr>
            <w:r w:rsidRPr="4AAFA41C">
              <w:rPr>
                <w:rFonts w:ascii="Arial" w:hAnsi="Arial" w:cs="Arial"/>
              </w:rPr>
              <w:t>CAP Update</w:t>
            </w:r>
            <w:r w:rsidR="009F478D" w:rsidRPr="4AAFA41C">
              <w:rPr>
                <w:rFonts w:ascii="Arial" w:hAnsi="Arial" w:cs="Arial"/>
              </w:rPr>
              <w:t>s</w:t>
            </w:r>
          </w:p>
        </w:tc>
        <w:tc>
          <w:tcPr>
            <w:tcW w:w="3216" w:type="dxa"/>
          </w:tcPr>
          <w:p w14:paraId="74D998CC" w14:textId="404CAE49" w:rsidR="007A4DF4" w:rsidRPr="00FF1A66" w:rsidRDefault="007A4DF4" w:rsidP="4AAFA41C">
            <w:pPr>
              <w:rPr>
                <w:rFonts w:ascii="Arial" w:hAnsi="Arial" w:cs="Arial"/>
              </w:rPr>
            </w:pPr>
            <w:r w:rsidRPr="4AAFA41C">
              <w:rPr>
                <w:rFonts w:ascii="Arial" w:hAnsi="Arial" w:cs="Arial"/>
              </w:rPr>
              <w:t xml:space="preserve">Grantee submits </w:t>
            </w:r>
            <w:r w:rsidR="0061373C" w:rsidRPr="4AAFA41C">
              <w:rPr>
                <w:rFonts w:ascii="Arial" w:hAnsi="Arial" w:cs="Arial"/>
              </w:rPr>
              <w:t xml:space="preserve">and </w:t>
            </w:r>
            <w:r w:rsidRPr="4AAFA41C">
              <w:rPr>
                <w:rFonts w:ascii="Arial" w:hAnsi="Arial" w:cs="Arial"/>
              </w:rPr>
              <w:t>meet</w:t>
            </w:r>
            <w:r w:rsidR="0061373C" w:rsidRPr="4AAFA41C">
              <w:rPr>
                <w:rFonts w:ascii="Arial" w:hAnsi="Arial" w:cs="Arial"/>
              </w:rPr>
              <w:t>s with ACL</w:t>
            </w:r>
            <w:r w:rsidRPr="4AAFA41C">
              <w:rPr>
                <w:rFonts w:ascii="Arial" w:hAnsi="Arial" w:cs="Arial"/>
              </w:rPr>
              <w:t xml:space="preserve"> as needed</w:t>
            </w:r>
          </w:p>
        </w:tc>
        <w:tc>
          <w:tcPr>
            <w:tcW w:w="1848" w:type="dxa"/>
          </w:tcPr>
          <w:p w14:paraId="3A25795D" w14:textId="46AA3255" w:rsidR="007A4DF4" w:rsidRPr="00FF1A66" w:rsidRDefault="007A4DF4" w:rsidP="4AAFA41C">
            <w:pPr>
              <w:rPr>
                <w:rFonts w:ascii="Arial" w:hAnsi="Arial" w:cs="Arial"/>
              </w:rPr>
            </w:pPr>
            <w:r w:rsidRPr="4AAFA41C">
              <w:rPr>
                <w:rFonts w:ascii="Arial" w:hAnsi="Arial" w:cs="Arial"/>
              </w:rPr>
              <w:t>Every 30 days</w:t>
            </w:r>
          </w:p>
        </w:tc>
      </w:tr>
      <w:tr w:rsidR="007A4DF4" w:rsidRPr="006363E4" w14:paraId="05B83844" w14:textId="77777777" w:rsidTr="4AAFA41C">
        <w:trPr>
          <w:trHeight w:val="300"/>
          <w:jc w:val="center"/>
        </w:trPr>
        <w:tc>
          <w:tcPr>
            <w:tcW w:w="720" w:type="dxa"/>
          </w:tcPr>
          <w:p w14:paraId="0651737B" w14:textId="63B5DF42" w:rsidR="007A4DF4" w:rsidRPr="00FF1A66" w:rsidRDefault="006363E4" w:rsidP="4AAFA41C">
            <w:pPr>
              <w:rPr>
                <w:rFonts w:ascii="Arial" w:hAnsi="Arial" w:cs="Arial"/>
              </w:rPr>
            </w:pPr>
            <w:r w:rsidRPr="4AAFA41C">
              <w:rPr>
                <w:rFonts w:ascii="Arial" w:hAnsi="Arial" w:cs="Arial"/>
              </w:rPr>
              <w:t>9</w:t>
            </w:r>
          </w:p>
        </w:tc>
        <w:tc>
          <w:tcPr>
            <w:tcW w:w="1861" w:type="dxa"/>
          </w:tcPr>
          <w:p w14:paraId="7DC7F7EB" w14:textId="4D7CBA50" w:rsidR="007A4DF4" w:rsidRPr="00FF1A66" w:rsidRDefault="007A4DF4" w:rsidP="4AAFA41C">
            <w:pPr>
              <w:rPr>
                <w:rFonts w:ascii="Arial" w:hAnsi="Arial" w:cs="Arial"/>
              </w:rPr>
            </w:pPr>
            <w:r w:rsidRPr="4AAFA41C">
              <w:rPr>
                <w:rFonts w:ascii="Arial" w:hAnsi="Arial" w:cs="Arial"/>
              </w:rPr>
              <w:t xml:space="preserve">CAP Completion </w:t>
            </w:r>
          </w:p>
        </w:tc>
        <w:tc>
          <w:tcPr>
            <w:tcW w:w="3216" w:type="dxa"/>
          </w:tcPr>
          <w:p w14:paraId="7B7EE216" w14:textId="0858D75A" w:rsidR="007A4DF4" w:rsidRPr="00FF1A66" w:rsidRDefault="00A941DF" w:rsidP="4AAFA41C">
            <w:pPr>
              <w:rPr>
                <w:rFonts w:ascii="Arial" w:hAnsi="Arial" w:cs="Arial"/>
              </w:rPr>
            </w:pPr>
            <w:r w:rsidRPr="4AAFA41C">
              <w:rPr>
                <w:rFonts w:ascii="Arial" w:hAnsi="Arial" w:cs="Arial"/>
              </w:rPr>
              <w:t>ACL</w:t>
            </w:r>
            <w:r w:rsidR="007A4DF4" w:rsidRPr="4AAFA41C">
              <w:rPr>
                <w:rFonts w:ascii="Arial" w:hAnsi="Arial" w:cs="Arial"/>
              </w:rPr>
              <w:t xml:space="preserve"> will send grantee notification that the monitoring and CAP process are complete.</w:t>
            </w:r>
          </w:p>
        </w:tc>
        <w:tc>
          <w:tcPr>
            <w:tcW w:w="1848" w:type="dxa"/>
          </w:tcPr>
          <w:p w14:paraId="1BC4694B" w14:textId="305FE044" w:rsidR="007A4DF4" w:rsidRPr="00FF1A66" w:rsidRDefault="007A4DF4" w:rsidP="4AAFA41C">
            <w:pPr>
              <w:rPr>
                <w:rFonts w:ascii="Arial" w:hAnsi="Arial" w:cs="Arial"/>
              </w:rPr>
            </w:pPr>
            <w:r w:rsidRPr="4AAFA41C">
              <w:rPr>
                <w:rFonts w:ascii="Arial" w:hAnsi="Arial" w:cs="Arial"/>
              </w:rPr>
              <w:t>Based on any number of factors, could be as long as 1 year</w:t>
            </w:r>
          </w:p>
        </w:tc>
      </w:tr>
    </w:tbl>
    <w:p w14:paraId="7D61EF0E" w14:textId="77777777" w:rsidR="00E95236" w:rsidRDefault="00E95236" w:rsidP="00E95236">
      <w:pPr>
        <w:pStyle w:val="Heading2"/>
        <w:spacing w:before="0" w:after="120" w:line="240" w:lineRule="auto"/>
        <w:rPr>
          <w:rFonts w:ascii="Arial" w:hAnsi="Arial" w:cs="Arial"/>
          <w:b/>
          <w:bCs/>
          <w:color w:val="4472C4" w:themeColor="accent1"/>
          <w:sz w:val="24"/>
          <w:szCs w:val="24"/>
        </w:rPr>
      </w:pPr>
    </w:p>
    <w:p w14:paraId="4AE0BBEC" w14:textId="77A12DAB" w:rsidR="00E95236" w:rsidRPr="00E95236" w:rsidRDefault="00E95236" w:rsidP="00E95236">
      <w:pPr>
        <w:pStyle w:val="Heading2"/>
        <w:spacing w:before="0" w:after="120" w:line="240" w:lineRule="auto"/>
        <w:rPr>
          <w:rFonts w:ascii="Arial" w:hAnsi="Arial" w:cs="Arial"/>
          <w:b/>
          <w:bCs/>
          <w:color w:val="4472C4" w:themeColor="accent1"/>
          <w:sz w:val="24"/>
          <w:szCs w:val="24"/>
        </w:rPr>
      </w:pPr>
      <w:r w:rsidRPr="00E95236">
        <w:rPr>
          <w:rFonts w:ascii="Arial" w:hAnsi="Arial" w:cs="Arial"/>
          <w:b/>
          <w:bCs/>
          <w:color w:val="4472C4" w:themeColor="accent1"/>
          <w:sz w:val="24"/>
          <w:szCs w:val="24"/>
        </w:rPr>
        <w:t>Toolkit</w:t>
      </w:r>
    </w:p>
    <w:p w14:paraId="2A962CDE" w14:textId="77777777" w:rsidR="00E95236" w:rsidRPr="00A511EF" w:rsidRDefault="00E95236" w:rsidP="00E95236">
      <w:pPr>
        <w:spacing w:after="0" w:line="240" w:lineRule="auto"/>
        <w:rPr>
          <w:rFonts w:ascii="Arial" w:hAnsi="Arial" w:cs="Arial"/>
          <w:sz w:val="20"/>
          <w:szCs w:val="20"/>
        </w:rPr>
      </w:pPr>
      <w:r w:rsidRPr="00A511EF">
        <w:rPr>
          <w:rStyle w:val="Hyperlink"/>
          <w:rFonts w:ascii="Arial" w:hAnsi="Arial" w:cs="Arial"/>
          <w:color w:val="auto"/>
          <w:u w:val="none"/>
        </w:rPr>
        <w:t>CIL Self- Assessment Tool</w:t>
      </w:r>
      <w:r w:rsidRPr="00A511EF">
        <w:rPr>
          <w:rStyle w:val="Hyperlink"/>
          <w:rFonts w:ascii="Arial" w:hAnsi="Arial" w:cs="Arial"/>
          <w:color w:val="auto"/>
          <w:sz w:val="20"/>
          <w:szCs w:val="20"/>
          <w:u w:val="none"/>
        </w:rPr>
        <w:t xml:space="preserve">: </w:t>
      </w:r>
      <w:hyperlink r:id="rId8" w:history="1">
        <w:r w:rsidRPr="00A511EF">
          <w:rPr>
            <w:rStyle w:val="Hyperlink"/>
            <w:rFonts w:ascii="Arial" w:hAnsi="Arial" w:cs="Arial"/>
            <w:sz w:val="20"/>
            <w:szCs w:val="20"/>
          </w:rPr>
          <w:t>CIL Evaluation Tool (Section 725 CIL Standards and Assurances)</w:t>
        </w:r>
      </w:hyperlink>
    </w:p>
    <w:p w14:paraId="5E441C36" w14:textId="77777777" w:rsidR="00E95236" w:rsidRPr="00A511EF" w:rsidRDefault="00E95236" w:rsidP="00E95236">
      <w:pPr>
        <w:spacing w:after="0" w:line="240" w:lineRule="auto"/>
        <w:rPr>
          <w:rStyle w:val="Hyperlink"/>
          <w:rFonts w:ascii="Arial" w:hAnsi="Arial" w:cs="Arial"/>
          <w:color w:val="auto"/>
          <w:sz w:val="20"/>
          <w:szCs w:val="20"/>
          <w:u w:val="none"/>
        </w:rPr>
      </w:pPr>
      <w:r w:rsidRPr="00A511EF">
        <w:rPr>
          <w:rStyle w:val="Hyperlink"/>
          <w:rFonts w:ascii="Arial" w:hAnsi="Arial" w:cs="Arial"/>
          <w:color w:val="auto"/>
          <w:u w:val="none"/>
        </w:rPr>
        <w:t>Fiscal Review Checklist:</w:t>
      </w:r>
      <w:r w:rsidRPr="00A511EF">
        <w:t xml:space="preserve"> </w:t>
      </w:r>
      <w:hyperlink r:id="rId9" w:history="1">
        <w:r w:rsidRPr="00A511EF">
          <w:rPr>
            <w:rStyle w:val="Hyperlink"/>
            <w:rFonts w:ascii="Arial" w:hAnsi="Arial" w:cs="Arial"/>
            <w:sz w:val="20"/>
            <w:szCs w:val="20"/>
          </w:rPr>
          <w:t>ACL IL Grant Programs Fiscal Review Checklist - Published 12.10.2024.docx</w:t>
        </w:r>
      </w:hyperlink>
    </w:p>
    <w:p w14:paraId="75FB1C1B" w14:textId="77777777" w:rsidR="00E95236" w:rsidRPr="00A511EF" w:rsidRDefault="00E95236" w:rsidP="00E95236">
      <w:pPr>
        <w:spacing w:after="0" w:line="240" w:lineRule="auto"/>
        <w:rPr>
          <w:rStyle w:val="Hyperlink"/>
          <w:rFonts w:ascii="Arial" w:hAnsi="Arial" w:cs="Arial"/>
          <w:color w:val="auto"/>
          <w:u w:val="none"/>
        </w:rPr>
      </w:pPr>
      <w:r w:rsidRPr="00A511EF">
        <w:rPr>
          <w:rStyle w:val="Hyperlink"/>
          <w:rFonts w:ascii="Arial" w:hAnsi="Arial" w:cs="Arial"/>
          <w:color w:val="auto"/>
          <w:u w:val="none"/>
        </w:rPr>
        <w:t xml:space="preserve">Corrective Action Plan Template: </w:t>
      </w:r>
    </w:p>
    <w:p w14:paraId="3A355019" w14:textId="77777777" w:rsidR="00920B5E" w:rsidRPr="00FF1A66" w:rsidRDefault="00920B5E" w:rsidP="009C71D4">
      <w:pPr>
        <w:rPr>
          <w:rFonts w:ascii="Arial" w:hAnsi="Arial" w:cs="Arial"/>
          <w:sz w:val="24"/>
          <w:szCs w:val="24"/>
        </w:rPr>
      </w:pPr>
    </w:p>
    <w:sectPr w:rsidR="00920B5E" w:rsidRPr="00FF1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783956"/>
    <w:multiLevelType w:val="hybridMultilevel"/>
    <w:tmpl w:val="9AF4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524D8C"/>
    <w:multiLevelType w:val="hybridMultilevel"/>
    <w:tmpl w:val="4C12CDBE"/>
    <w:lvl w:ilvl="0" w:tplc="F27E8E3E">
      <w:numFmt w:val="bullet"/>
      <w:lvlText w:val=""/>
      <w:lvlJc w:val="left"/>
      <w:pPr>
        <w:ind w:left="480" w:hanging="360"/>
      </w:pPr>
      <w:rPr>
        <w:rFonts w:ascii="Symbol" w:eastAsia="Calibri" w:hAnsi="Symbol" w:cs="Calibri"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15:restartNumberingAfterBreak="0">
    <w:nsid w:val="7F966085"/>
    <w:multiLevelType w:val="hybridMultilevel"/>
    <w:tmpl w:val="B6CC5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2242264">
    <w:abstractNumId w:val="1"/>
  </w:num>
  <w:num w:numId="2" w16cid:durableId="1419448539">
    <w:abstractNumId w:val="2"/>
  </w:num>
  <w:num w:numId="3" w16cid:durableId="1886720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B5E"/>
    <w:rsid w:val="00056B67"/>
    <w:rsid w:val="000704C9"/>
    <w:rsid w:val="0007492D"/>
    <w:rsid w:val="00075D29"/>
    <w:rsid w:val="00093D80"/>
    <w:rsid w:val="000F714C"/>
    <w:rsid w:val="00114EA5"/>
    <w:rsid w:val="00176845"/>
    <w:rsid w:val="00177225"/>
    <w:rsid w:val="0018056C"/>
    <w:rsid w:val="001B493E"/>
    <w:rsid w:val="001C1F8A"/>
    <w:rsid w:val="001C7340"/>
    <w:rsid w:val="002235E6"/>
    <w:rsid w:val="00224408"/>
    <w:rsid w:val="00231472"/>
    <w:rsid w:val="0023249E"/>
    <w:rsid w:val="00240CB5"/>
    <w:rsid w:val="002418D6"/>
    <w:rsid w:val="00255476"/>
    <w:rsid w:val="002770B2"/>
    <w:rsid w:val="0029169D"/>
    <w:rsid w:val="002B0DC1"/>
    <w:rsid w:val="002E206F"/>
    <w:rsid w:val="00326803"/>
    <w:rsid w:val="00353D46"/>
    <w:rsid w:val="00371CC2"/>
    <w:rsid w:val="0038152E"/>
    <w:rsid w:val="003900FF"/>
    <w:rsid w:val="003B2833"/>
    <w:rsid w:val="003C77BA"/>
    <w:rsid w:val="003F786C"/>
    <w:rsid w:val="00421B28"/>
    <w:rsid w:val="00427942"/>
    <w:rsid w:val="00437CB6"/>
    <w:rsid w:val="004439EB"/>
    <w:rsid w:val="00450976"/>
    <w:rsid w:val="0046256B"/>
    <w:rsid w:val="0046283D"/>
    <w:rsid w:val="004707E7"/>
    <w:rsid w:val="00477852"/>
    <w:rsid w:val="004B0319"/>
    <w:rsid w:val="004C1177"/>
    <w:rsid w:val="004D2D4B"/>
    <w:rsid w:val="004E191B"/>
    <w:rsid w:val="00514D93"/>
    <w:rsid w:val="00522F04"/>
    <w:rsid w:val="005421D0"/>
    <w:rsid w:val="00544D9E"/>
    <w:rsid w:val="005578BE"/>
    <w:rsid w:val="00565BCC"/>
    <w:rsid w:val="0059030F"/>
    <w:rsid w:val="0061373C"/>
    <w:rsid w:val="006363E4"/>
    <w:rsid w:val="006533B9"/>
    <w:rsid w:val="00674F29"/>
    <w:rsid w:val="00695B03"/>
    <w:rsid w:val="00696107"/>
    <w:rsid w:val="006D6A24"/>
    <w:rsid w:val="00706832"/>
    <w:rsid w:val="0071755D"/>
    <w:rsid w:val="00725D54"/>
    <w:rsid w:val="00727DF4"/>
    <w:rsid w:val="00743650"/>
    <w:rsid w:val="007701A6"/>
    <w:rsid w:val="007A4DF4"/>
    <w:rsid w:val="007B09CB"/>
    <w:rsid w:val="007D4F6E"/>
    <w:rsid w:val="007F6FFA"/>
    <w:rsid w:val="008123D2"/>
    <w:rsid w:val="00814806"/>
    <w:rsid w:val="0083124D"/>
    <w:rsid w:val="00846581"/>
    <w:rsid w:val="00871126"/>
    <w:rsid w:val="0088663E"/>
    <w:rsid w:val="008878CF"/>
    <w:rsid w:val="008B5DC8"/>
    <w:rsid w:val="008E3F95"/>
    <w:rsid w:val="008F1DD4"/>
    <w:rsid w:val="009021A9"/>
    <w:rsid w:val="0091777E"/>
    <w:rsid w:val="00920B5E"/>
    <w:rsid w:val="009330B8"/>
    <w:rsid w:val="00957E2C"/>
    <w:rsid w:val="00984063"/>
    <w:rsid w:val="00990936"/>
    <w:rsid w:val="009A178E"/>
    <w:rsid w:val="009A4EB2"/>
    <w:rsid w:val="009A543B"/>
    <w:rsid w:val="009B466F"/>
    <w:rsid w:val="009C4949"/>
    <w:rsid w:val="009C71D4"/>
    <w:rsid w:val="009D44F2"/>
    <w:rsid w:val="009E1002"/>
    <w:rsid w:val="009E4665"/>
    <w:rsid w:val="009F478D"/>
    <w:rsid w:val="009F48F2"/>
    <w:rsid w:val="00A04EB8"/>
    <w:rsid w:val="00A474CB"/>
    <w:rsid w:val="00A474EF"/>
    <w:rsid w:val="00A511EF"/>
    <w:rsid w:val="00A525BC"/>
    <w:rsid w:val="00A53795"/>
    <w:rsid w:val="00A608A3"/>
    <w:rsid w:val="00A6127C"/>
    <w:rsid w:val="00A8784E"/>
    <w:rsid w:val="00A941DF"/>
    <w:rsid w:val="00AA36FA"/>
    <w:rsid w:val="00AA7AAE"/>
    <w:rsid w:val="00AC730A"/>
    <w:rsid w:val="00B47AC4"/>
    <w:rsid w:val="00B532BC"/>
    <w:rsid w:val="00B73282"/>
    <w:rsid w:val="00B835AA"/>
    <w:rsid w:val="00BA7ACC"/>
    <w:rsid w:val="00BB76AB"/>
    <w:rsid w:val="00BD38FC"/>
    <w:rsid w:val="00BF10F6"/>
    <w:rsid w:val="00C158CF"/>
    <w:rsid w:val="00C16AB2"/>
    <w:rsid w:val="00C205F6"/>
    <w:rsid w:val="00C465F2"/>
    <w:rsid w:val="00C7210F"/>
    <w:rsid w:val="00C8092F"/>
    <w:rsid w:val="00CA7C19"/>
    <w:rsid w:val="00CB5F9B"/>
    <w:rsid w:val="00CD058A"/>
    <w:rsid w:val="00CE06B7"/>
    <w:rsid w:val="00CE4FE7"/>
    <w:rsid w:val="00D34194"/>
    <w:rsid w:val="00D85733"/>
    <w:rsid w:val="00DA4ECE"/>
    <w:rsid w:val="00DB17C2"/>
    <w:rsid w:val="00DF2B29"/>
    <w:rsid w:val="00E17662"/>
    <w:rsid w:val="00E46CC7"/>
    <w:rsid w:val="00E95236"/>
    <w:rsid w:val="00EA0A9F"/>
    <w:rsid w:val="00EC189D"/>
    <w:rsid w:val="00EC3F03"/>
    <w:rsid w:val="00ED064A"/>
    <w:rsid w:val="00EE7A3F"/>
    <w:rsid w:val="00EF755C"/>
    <w:rsid w:val="00F1746C"/>
    <w:rsid w:val="00F273BE"/>
    <w:rsid w:val="00F323B0"/>
    <w:rsid w:val="00F4289A"/>
    <w:rsid w:val="00F44C0F"/>
    <w:rsid w:val="00F632C4"/>
    <w:rsid w:val="00F659E0"/>
    <w:rsid w:val="00F77131"/>
    <w:rsid w:val="00FD6209"/>
    <w:rsid w:val="00FF1A66"/>
    <w:rsid w:val="0476018F"/>
    <w:rsid w:val="07950078"/>
    <w:rsid w:val="079EF08E"/>
    <w:rsid w:val="095A2E2C"/>
    <w:rsid w:val="0A153152"/>
    <w:rsid w:val="0CE52848"/>
    <w:rsid w:val="0CF6716F"/>
    <w:rsid w:val="0D1FE755"/>
    <w:rsid w:val="0D33FF3A"/>
    <w:rsid w:val="0E913BAC"/>
    <w:rsid w:val="109717D2"/>
    <w:rsid w:val="12562733"/>
    <w:rsid w:val="129754B2"/>
    <w:rsid w:val="15A669E8"/>
    <w:rsid w:val="1694A79C"/>
    <w:rsid w:val="1CE96703"/>
    <w:rsid w:val="1D0807A3"/>
    <w:rsid w:val="1E1093C5"/>
    <w:rsid w:val="1F6DA048"/>
    <w:rsid w:val="2714EF94"/>
    <w:rsid w:val="2736B0CB"/>
    <w:rsid w:val="27905CD0"/>
    <w:rsid w:val="29C98730"/>
    <w:rsid w:val="2ADC6E02"/>
    <w:rsid w:val="2B28C5A6"/>
    <w:rsid w:val="2E084779"/>
    <w:rsid w:val="2EB2D068"/>
    <w:rsid w:val="3087C3E9"/>
    <w:rsid w:val="314B572C"/>
    <w:rsid w:val="31B5C7BE"/>
    <w:rsid w:val="33DAFC38"/>
    <w:rsid w:val="366D1A42"/>
    <w:rsid w:val="37FAB26E"/>
    <w:rsid w:val="39908066"/>
    <w:rsid w:val="3F555C90"/>
    <w:rsid w:val="42EAA804"/>
    <w:rsid w:val="4325FE68"/>
    <w:rsid w:val="49431E6D"/>
    <w:rsid w:val="4AAFA41C"/>
    <w:rsid w:val="4E24808F"/>
    <w:rsid w:val="4E9DE87E"/>
    <w:rsid w:val="5486D8B0"/>
    <w:rsid w:val="54DF0577"/>
    <w:rsid w:val="56F8B940"/>
    <w:rsid w:val="572AF900"/>
    <w:rsid w:val="5911579F"/>
    <w:rsid w:val="5A68A4F3"/>
    <w:rsid w:val="5B6DFBC4"/>
    <w:rsid w:val="5BD35C0D"/>
    <w:rsid w:val="5CDAF40E"/>
    <w:rsid w:val="5E0F7C47"/>
    <w:rsid w:val="5F4AD807"/>
    <w:rsid w:val="5FD9D104"/>
    <w:rsid w:val="63A951D1"/>
    <w:rsid w:val="63E02D5A"/>
    <w:rsid w:val="659A439C"/>
    <w:rsid w:val="6874689C"/>
    <w:rsid w:val="68B080F1"/>
    <w:rsid w:val="68C8C528"/>
    <w:rsid w:val="68DB81DA"/>
    <w:rsid w:val="698508BE"/>
    <w:rsid w:val="6C35DEA5"/>
    <w:rsid w:val="73915E46"/>
    <w:rsid w:val="73F757D7"/>
    <w:rsid w:val="751F7C9C"/>
    <w:rsid w:val="75CAF2C3"/>
    <w:rsid w:val="7812C396"/>
    <w:rsid w:val="79C5F503"/>
    <w:rsid w:val="7C372A71"/>
    <w:rsid w:val="7D093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B4837"/>
  <w15:chartTrackingRefBased/>
  <w15:docId w15:val="{AB4CEA88-FE53-4C62-812A-A64D1CEA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3D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6B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20B5E"/>
    <w:pPr>
      <w:widowControl w:val="0"/>
      <w:autoSpaceDE w:val="0"/>
      <w:autoSpaceDN w:val="0"/>
      <w:spacing w:after="0" w:line="274" w:lineRule="auto"/>
      <w:ind w:left="839"/>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920B5E"/>
    <w:rPr>
      <w:rFonts w:ascii="Calibri" w:eastAsia="Calibri" w:hAnsi="Calibri" w:cs="Calibri"/>
      <w:kern w:val="0"/>
      <w:sz w:val="24"/>
      <w:szCs w:val="24"/>
      <w14:ligatures w14:val="none"/>
    </w:rPr>
  </w:style>
  <w:style w:type="paragraph" w:styleId="ListParagraph">
    <w:name w:val="List Paragraph"/>
    <w:basedOn w:val="Normal"/>
    <w:uiPriority w:val="34"/>
    <w:qFormat/>
    <w:rsid w:val="00EC3F03"/>
    <w:pPr>
      <w:ind w:left="720"/>
      <w:contextualSpacing/>
    </w:pPr>
  </w:style>
  <w:style w:type="character" w:customStyle="1" w:styleId="Heading1Char">
    <w:name w:val="Heading 1 Char"/>
    <w:basedOn w:val="DefaultParagraphFont"/>
    <w:link w:val="Heading1"/>
    <w:uiPriority w:val="9"/>
    <w:rsid w:val="00353D4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6B67"/>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AC730A"/>
    <w:pPr>
      <w:spacing w:after="0" w:line="240" w:lineRule="auto"/>
    </w:pPr>
  </w:style>
  <w:style w:type="character" w:styleId="CommentReference">
    <w:name w:val="annotation reference"/>
    <w:basedOn w:val="DefaultParagraphFont"/>
    <w:uiPriority w:val="99"/>
    <w:semiHidden/>
    <w:unhideWhenUsed/>
    <w:rsid w:val="00725D54"/>
    <w:rPr>
      <w:sz w:val="16"/>
      <w:szCs w:val="16"/>
    </w:rPr>
  </w:style>
  <w:style w:type="paragraph" w:styleId="CommentText">
    <w:name w:val="annotation text"/>
    <w:basedOn w:val="Normal"/>
    <w:link w:val="CommentTextChar"/>
    <w:uiPriority w:val="99"/>
    <w:unhideWhenUsed/>
    <w:rsid w:val="00725D54"/>
    <w:pPr>
      <w:spacing w:line="240" w:lineRule="auto"/>
    </w:pPr>
    <w:rPr>
      <w:sz w:val="20"/>
      <w:szCs w:val="20"/>
    </w:rPr>
  </w:style>
  <w:style w:type="character" w:customStyle="1" w:styleId="CommentTextChar">
    <w:name w:val="Comment Text Char"/>
    <w:basedOn w:val="DefaultParagraphFont"/>
    <w:link w:val="CommentText"/>
    <w:uiPriority w:val="99"/>
    <w:rsid w:val="00725D54"/>
    <w:rPr>
      <w:sz w:val="20"/>
      <w:szCs w:val="20"/>
    </w:rPr>
  </w:style>
  <w:style w:type="paragraph" w:styleId="CommentSubject">
    <w:name w:val="annotation subject"/>
    <w:basedOn w:val="CommentText"/>
    <w:next w:val="CommentText"/>
    <w:link w:val="CommentSubjectChar"/>
    <w:uiPriority w:val="99"/>
    <w:semiHidden/>
    <w:unhideWhenUsed/>
    <w:rsid w:val="00725D54"/>
    <w:rPr>
      <w:b/>
      <w:bCs/>
    </w:rPr>
  </w:style>
  <w:style w:type="character" w:customStyle="1" w:styleId="CommentSubjectChar">
    <w:name w:val="Comment Subject Char"/>
    <w:basedOn w:val="CommentTextChar"/>
    <w:link w:val="CommentSubject"/>
    <w:uiPriority w:val="99"/>
    <w:semiHidden/>
    <w:rsid w:val="00725D54"/>
    <w:rPr>
      <w:b/>
      <w:bCs/>
      <w:sz w:val="20"/>
      <w:szCs w:val="20"/>
    </w:rPr>
  </w:style>
  <w:style w:type="table" w:styleId="TableGrid">
    <w:name w:val="Table Grid"/>
    <w:basedOn w:val="TableNormal"/>
    <w:uiPriority w:val="39"/>
    <w:rsid w:val="00443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11EF"/>
    <w:rPr>
      <w:color w:val="0000FF"/>
      <w:u w:val="single"/>
    </w:rPr>
  </w:style>
  <w:style w:type="character" w:styleId="FollowedHyperlink">
    <w:name w:val="FollowedHyperlink"/>
    <w:basedOn w:val="DefaultParagraphFont"/>
    <w:uiPriority w:val="99"/>
    <w:semiHidden/>
    <w:unhideWhenUsed/>
    <w:rsid w:val="00A511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43321">
      <w:bodyDiv w:val="1"/>
      <w:marLeft w:val="0"/>
      <w:marRight w:val="0"/>
      <w:marTop w:val="0"/>
      <w:marBottom w:val="0"/>
      <w:divBdr>
        <w:top w:val="none" w:sz="0" w:space="0" w:color="auto"/>
        <w:left w:val="none" w:sz="0" w:space="0" w:color="auto"/>
        <w:bottom w:val="none" w:sz="0" w:space="0" w:color="auto"/>
        <w:right w:val="none" w:sz="0" w:space="0" w:color="auto"/>
      </w:divBdr>
    </w:div>
    <w:div w:id="673999286">
      <w:bodyDiv w:val="1"/>
      <w:marLeft w:val="0"/>
      <w:marRight w:val="0"/>
      <w:marTop w:val="0"/>
      <w:marBottom w:val="0"/>
      <w:divBdr>
        <w:top w:val="none" w:sz="0" w:space="0" w:color="auto"/>
        <w:left w:val="none" w:sz="0" w:space="0" w:color="auto"/>
        <w:bottom w:val="none" w:sz="0" w:space="0" w:color="auto"/>
        <w:right w:val="none" w:sz="0" w:space="0" w:color="auto"/>
      </w:divBdr>
    </w:div>
    <w:div w:id="1313412369">
      <w:bodyDiv w:val="1"/>
      <w:marLeft w:val="0"/>
      <w:marRight w:val="0"/>
      <w:marTop w:val="0"/>
      <w:marBottom w:val="0"/>
      <w:divBdr>
        <w:top w:val="none" w:sz="0" w:space="0" w:color="auto"/>
        <w:left w:val="none" w:sz="0" w:space="0" w:color="auto"/>
        <w:bottom w:val="none" w:sz="0" w:space="0" w:color="auto"/>
        <w:right w:val="none" w:sz="0" w:space="0" w:color="auto"/>
      </w:divBdr>
    </w:div>
    <w:div w:id="1645160002">
      <w:bodyDiv w:val="1"/>
      <w:marLeft w:val="0"/>
      <w:marRight w:val="0"/>
      <w:marTop w:val="0"/>
      <w:marBottom w:val="0"/>
      <w:divBdr>
        <w:top w:val="none" w:sz="0" w:space="0" w:color="auto"/>
        <w:left w:val="none" w:sz="0" w:space="0" w:color="auto"/>
        <w:bottom w:val="none" w:sz="0" w:space="0" w:color="auto"/>
        <w:right w:val="none" w:sz="0" w:space="0" w:color="auto"/>
      </w:divBdr>
    </w:div>
    <w:div w:id="211859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erica.mcfadden\AppData\Local\Microsoft\Windows\INetCache\Content.Outlook\LYBAD6IQ\CIL%20Self-Evaluation%20Tool%20(Section%20725%20CIL%20Standards%20and%20Assuranc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iew.officeapps.live.com/op/view.aspx?src=https%3A%2F%2Facl.gov%2Fsites%2Fdefault%2Ffiles%2Fprograms%2F2024-12%2FACL%2520IL%2520Grant%2520Programs%2520Fiscal%2520Review%2520Checklist%2520-%2520Published%252012.10.2024.docx&amp;wdOrigin=BROWSE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22A17313720D498652ED3D1F15B8E3" ma:contentTypeVersion="13" ma:contentTypeDescription="Create a new document." ma:contentTypeScope="" ma:versionID="5e179e6323a7a5eb60de2655000529ea">
  <xsd:schema xmlns:xsd="http://www.w3.org/2001/XMLSchema" xmlns:xs="http://www.w3.org/2001/XMLSchema" xmlns:p="http://schemas.microsoft.com/office/2006/metadata/properties" xmlns:ns2="7a8e9bb9-fd04-47fb-9a37-2c5fdfef2401" xmlns:ns3="1c7ef77e-170a-485c-855e-b345781b6308" targetNamespace="http://schemas.microsoft.com/office/2006/metadata/properties" ma:root="true" ma:fieldsID="c0f47bb09b567b956b09aac7a59ec943" ns2:_="" ns3:_="">
    <xsd:import namespace="7a8e9bb9-fd04-47fb-9a37-2c5fdfef2401"/>
    <xsd:import namespace="1c7ef77e-170a-485c-855e-b345781b63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e9bb9-fd04-47fb-9a37-2c5fdfef24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7ef77e-170a-485c-855e-b345781b630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e4a4fa9-6b35-49f8-8344-072dc549c19c}" ma:internalName="TaxCatchAll" ma:showField="CatchAllData" ma:web="1c7ef77e-170a-485c-855e-b345781b630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8e9bb9-fd04-47fb-9a37-2c5fdfef2401">
      <Terms xmlns="http://schemas.microsoft.com/office/infopath/2007/PartnerControls"/>
    </lcf76f155ced4ddcb4097134ff3c332f>
    <TaxCatchAll xmlns="1c7ef77e-170a-485c-855e-b345781b63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AFF1F3-A501-4240-9F5F-C535AEFE5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e9bb9-fd04-47fb-9a37-2c5fdfef2401"/>
    <ds:schemaRef ds:uri="1c7ef77e-170a-485c-855e-b345781b63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A2DA2B-6827-43E3-8795-42C714353FF2}">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1c7ef77e-170a-485c-855e-b345781b6308"/>
    <ds:schemaRef ds:uri="http://schemas.openxmlformats.org/package/2006/metadata/core-properties"/>
    <ds:schemaRef ds:uri="http://purl.org/dc/terms/"/>
    <ds:schemaRef ds:uri="7a8e9bb9-fd04-47fb-9a37-2c5fdfef2401"/>
    <ds:schemaRef ds:uri="http://www.w3.org/XML/1998/namespace"/>
    <ds:schemaRef ds:uri="http://purl.org/dc/dcmitype/"/>
  </ds:schemaRefs>
</ds:datastoreItem>
</file>

<file path=customXml/itemProps3.xml><?xml version="1.0" encoding="utf-8"?>
<ds:datastoreItem xmlns:ds="http://schemas.openxmlformats.org/officeDocument/2006/customXml" ds:itemID="{019C3398-342F-4E51-9DEA-4F4D877FF3EE}">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Review - A Component of IL COMP</dc:title>
  <dc:subject/>
  <dc:creator>Williams, Hindley (ACL)</dc:creator>
  <cp:keywords/>
  <dc:description/>
  <cp:lastModifiedBy>ACL</cp:lastModifiedBy>
  <cp:revision>4</cp:revision>
  <dcterms:created xsi:type="dcterms:W3CDTF">2025-05-16T15:08:00Z</dcterms:created>
  <dcterms:modified xsi:type="dcterms:W3CDTF">2025-05-27T12:15:00Z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0x0101008722A17313720D498652ED3D1F15B8E3</vt:lpwstr>
  </property>
  <property fmtid="{D5CDD505-2E9C-101B-9397-08002B2CF9AE}" pid="3" name="MediaServiceImageTags">
    <vt:lpwstr/>
  </property>
</Properties>
</file>