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21611ee532c32d60a6f8e2707ddb3f2940b0db6"/>
    <w:p>
      <w:pPr>
        <w:pStyle w:val="Heading1"/>
      </w:pPr>
      <w:r>
        <w:t xml:space="preserve">Good Governance: Building Highly Effective CIL Boards</w:t>
      </w:r>
    </w:p>
    <w:p>
      <w:pPr>
        <w:pStyle w:val="FirstParagraph"/>
      </w:pPr>
      <w:r>
        <w:t xml:space="preserve">Strengthening Accountability &amp; Strategic Oversight</w:t>
      </w:r>
    </w:p>
    <w:p>
      <w:r>
        <w:pict>
          <v:rect style="width:0;height:1.5pt" o:hralign="center" o:hrstd="t" o:hr="t"/>
        </w:pict>
      </w:r>
    </w:p>
    <w:bookmarkStart w:id="20" w:name="cohort-week-2-of-3"/>
    <w:p>
      <w:pPr>
        <w:pStyle w:val="Heading2"/>
      </w:pPr>
      <w:r>
        <w:t xml:space="preserve">Cohort, Week 2 of 3</w:t>
      </w:r>
    </w:p>
    <w:p>
      <w:pPr>
        <w:pStyle w:val="FirstParagraph"/>
      </w:pPr>
      <w:r>
        <w:rPr>
          <w:b/>
          <w:bCs/>
        </w:rPr>
        <w:t xml:space="preserve">Building Consumer-Driven Boards</w:t>
      </w:r>
      <w:r>
        <w:br/>
      </w:r>
      <w:r>
        <w:rPr>
          <w:b/>
          <w:bCs/>
        </w:rPr>
        <w:t xml:space="preserve">Wednesday, December 10, 2025</w:t>
      </w:r>
    </w:p>
    <w:p>
      <w:pPr>
        <w:pStyle w:val="BodyText"/>
      </w:pPr>
      <w:r>
        <w:t xml:space="preserve">(Recording in progress)</w:t>
      </w:r>
      <w:r>
        <w:br/>
      </w:r>
      <w:r>
        <w:t xml:space="preserve">Live captioning by AI-Media</w:t>
      </w:r>
    </w:p>
    <w:p>
      <w:r>
        <w:pict>
          <v:rect style="width:0;height:1.5pt" o:hralign="center" o:hrstd="t" o:hr="t"/>
        </w:pict>
      </w:r>
    </w:p>
    <w:bookmarkEnd w:id="20"/>
    <w:bookmarkStart w:id="21" w:name="welcome-and-opening-remarks"/>
    <w:p>
      <w:pPr>
        <w:pStyle w:val="Heading2"/>
      </w:pPr>
      <w:r>
        <w:t xml:space="preserve">Welcome and Opening Remarks</w:t>
      </w:r>
    </w:p>
    <w:p>
      <w:pPr>
        <w:pStyle w:val="FirstParagraph"/>
      </w:pPr>
      <w:r>
        <w:rPr>
          <w:b/>
          <w:bCs/>
        </w:rPr>
        <w:t xml:space="preserve">BETHANY BALDWIN:</w:t>
      </w:r>
      <w:r>
        <w:br/>
      </w:r>
      <w:r>
        <w:t xml:space="preserve">Welcome to Week 2 of</w:t>
      </w:r>
      <w:r>
        <w:t xml:space="preserve"> </w:t>
      </w:r>
      <w:r>
        <w:rPr>
          <w:i/>
          <w:iCs/>
        </w:rPr>
        <w:t xml:space="preserve">Good Governance: Building Highly Effective Boards</w:t>
      </w:r>
      <w:r>
        <w:t xml:space="preserve">. The IL T&amp;TA Center is funded through the U.S. Department of Health and Human Services and operated by the Institute for Inclusive Communities.</w:t>
      </w:r>
    </w:p>
    <w:p>
      <w:pPr>
        <w:pStyle w:val="BodyText"/>
      </w:pPr>
      <w:r>
        <w:t xml:space="preserve">My name is Bethany Baldwin, Project Coordinator at the National Council on Independent Living. I use she/her pronouns and am wearing a beige sweater and glasses.</w:t>
      </w:r>
    </w:p>
    <w:p>
      <w:r>
        <w:pict>
          <v:rect style="width:0;height:1.5pt" o:hralign="center" o:hrstd="t" o:hr="t"/>
        </w:pict>
      </w:r>
    </w:p>
    <w:bookmarkEnd w:id="21"/>
    <w:bookmarkStart w:id="22" w:name="housekeeping-and-accessibility-notes"/>
    <w:p>
      <w:pPr>
        <w:pStyle w:val="Heading2"/>
      </w:pPr>
      <w:r>
        <w:t xml:space="preserve">Housekeeping and Accessibility Notes</w:t>
      </w:r>
    </w:p>
    <w:p>
      <w:pPr>
        <w:pStyle w:val="FirstParagraph"/>
      </w:pPr>
      <w:r>
        <w:t xml:space="preserve">ASL and Spanish interpreters are available via the Zoom interpretation menu. English captions are available through the CC button or external link; Spanish captions are available through the chat link.</w:t>
      </w:r>
    </w:p>
    <w:p>
      <w:pPr>
        <w:pStyle w:val="BodyText"/>
      </w:pPr>
      <w:r>
        <w:t xml:space="preserve">Participants are encouraged to use Chat or Raise Hand features. Phone participants may press</w:t>
      </w:r>
      <w:r>
        <w:t xml:space="preserve"> </w:t>
      </w:r>
      <w:r>
        <w:rPr>
          <w:i/>
          <w:iCs/>
        </w:rPr>
        <w:t xml:space="preserve">6 to unmute and</w:t>
      </w:r>
      <w:r>
        <w:rPr>
          <w:i/>
          <w:iCs/>
        </w:rPr>
        <w:t xml:space="preserve"> </w:t>
      </w:r>
      <w:r>
        <w:t xml:space="preserve">9 to raise their hand.</w:t>
      </w:r>
    </w:p>
    <w:p>
      <w:pPr>
        <w:pStyle w:val="BodyText"/>
      </w:pPr>
      <w:r>
        <w:t xml:space="preserve">A survey will be shared at the end of the session.</w:t>
      </w:r>
    </w:p>
    <w:p>
      <w:r>
        <w:pict>
          <v:rect style="width:0;height:1.5pt" o:hralign="center" o:hrstd="t" o:hr="t"/>
        </w:pict>
      </w:r>
    </w:p>
    <w:bookmarkEnd w:id="22"/>
    <w:bookmarkStart w:id="23" w:name="review-of-cohort-progress"/>
    <w:p>
      <w:pPr>
        <w:pStyle w:val="Heading2"/>
      </w:pPr>
      <w:r>
        <w:t xml:space="preserve">Review of Cohort Progress</w:t>
      </w:r>
    </w:p>
    <w:p>
      <w:pPr>
        <w:pStyle w:val="Compact"/>
        <w:numPr>
          <w:ilvl w:val="0"/>
          <w:numId w:val="1001"/>
        </w:numPr>
      </w:pPr>
      <w:r>
        <w:t xml:space="preserve">Week 1 focused on leadership roles and governance structure</w:t>
      </w:r>
    </w:p>
    <w:p>
      <w:pPr>
        <w:pStyle w:val="Compact"/>
        <w:numPr>
          <w:ilvl w:val="0"/>
          <w:numId w:val="1001"/>
        </w:numPr>
      </w:pPr>
      <w:r>
        <w:t xml:space="preserve">Week 2 centers on Independent Living Philosophy, board composition, and informed decision-making</w:t>
      </w:r>
    </w:p>
    <w:p>
      <w:pPr>
        <w:pStyle w:val="Compact"/>
        <w:numPr>
          <w:ilvl w:val="0"/>
          <w:numId w:val="1001"/>
        </w:numPr>
      </w:pPr>
      <w:r>
        <w:t xml:space="preserve">Week 3 will address strategic planning, financial oversight, and accountability</w:t>
      </w:r>
    </w:p>
    <w:p>
      <w:r>
        <w:pict>
          <v:rect style="width:0;height:1.5pt" o:hralign="center" o:hrstd="t" o:hr="t"/>
        </w:pict>
      </w:r>
    </w:p>
    <w:bookmarkEnd w:id="23"/>
    <w:bookmarkStart w:id="24" w:name="facilitator-introduction"/>
    <w:p>
      <w:pPr>
        <w:pStyle w:val="Heading2"/>
      </w:pPr>
      <w:r>
        <w:t xml:space="preserve">Facilitator Introduction</w:t>
      </w:r>
    </w:p>
    <w:p>
      <w:pPr>
        <w:pStyle w:val="FirstParagraph"/>
      </w:pPr>
      <w:r>
        <w:rPr>
          <w:b/>
          <w:bCs/>
        </w:rPr>
        <w:t xml:space="preserve">TYLER MORRIS:</w:t>
      </w:r>
      <w:r>
        <w:br/>
      </w:r>
      <w:r>
        <w:t xml:space="preserve">Thank you, Bethany. I’m Tyler Morris, Director of Training at the IL T&amp;TA Center. I’m wearing a green plaid shirt and glasses and am in my midlife chapter.</w:t>
      </w:r>
    </w:p>
    <w:p>
      <w:r>
        <w:pict>
          <v:rect style="width:0;height:1.5pt" o:hralign="center" o:hrstd="t" o:hr="t"/>
        </w:pict>
      </w:r>
    </w:p>
    <w:bookmarkEnd w:id="24"/>
    <w:bookmarkStart w:id="27" w:name="X8d070b125a0e3a747a943326b9fccb290c30b84"/>
    <w:p>
      <w:pPr>
        <w:pStyle w:val="Heading2"/>
      </w:pPr>
      <w:r>
        <w:t xml:space="preserve">Independent Living Philosophy and Governance</w:t>
      </w:r>
    </w:p>
    <w:bookmarkStart w:id="25" w:name="core-principles"/>
    <w:p>
      <w:pPr>
        <w:pStyle w:val="Heading3"/>
      </w:pPr>
      <w:r>
        <w:t xml:space="preserve">Core Principles</w:t>
      </w:r>
    </w:p>
    <w:p>
      <w:pPr>
        <w:pStyle w:val="Compact"/>
        <w:numPr>
          <w:ilvl w:val="0"/>
          <w:numId w:val="1002"/>
        </w:numPr>
      </w:pPr>
      <w:r>
        <w:t xml:space="preserve">Individuals with disabilities are experts in their own lives</w:t>
      </w:r>
    </w:p>
    <w:p>
      <w:pPr>
        <w:pStyle w:val="Compact"/>
        <w:numPr>
          <w:ilvl w:val="0"/>
          <w:numId w:val="1002"/>
        </w:numPr>
      </w:pPr>
      <w:r>
        <w:t xml:space="preserve">Consumer control and self-determination</w:t>
      </w:r>
    </w:p>
    <w:p>
      <w:pPr>
        <w:pStyle w:val="Compact"/>
        <w:numPr>
          <w:ilvl w:val="0"/>
          <w:numId w:val="1002"/>
        </w:numPr>
      </w:pPr>
      <w:r>
        <w:t xml:space="preserve">Dignity of risk</w:t>
      </w:r>
    </w:p>
    <w:p>
      <w:pPr>
        <w:pStyle w:val="Compact"/>
        <w:numPr>
          <w:ilvl w:val="0"/>
          <w:numId w:val="1002"/>
        </w:numPr>
      </w:pPr>
      <w:r>
        <w:t xml:space="preserve">Community inclusion and accessibility</w:t>
      </w:r>
    </w:p>
    <w:bookmarkEnd w:id="25"/>
    <w:bookmarkStart w:id="26" w:name="consumer-control"/>
    <w:p>
      <w:pPr>
        <w:pStyle w:val="Heading3"/>
      </w:pPr>
      <w:r>
        <w:t xml:space="preserve">Consumer Control</w:t>
      </w:r>
    </w:p>
    <w:p>
      <w:pPr>
        <w:pStyle w:val="FirstParagraph"/>
      </w:pPr>
      <w:r>
        <w:t xml:space="preserve">Consumer control means vesting power and authority in individuals with disabilities regarding management, staffing, decision-making, and service provision.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rehabilitation-act-and-legal-framework"/>
    <w:p>
      <w:pPr>
        <w:pStyle w:val="Heading2"/>
      </w:pPr>
      <w:r>
        <w:t xml:space="preserve">Rehabilitation Act and Legal Framework</w:t>
      </w:r>
    </w:p>
    <w:p>
      <w:pPr>
        <w:pStyle w:val="FirstParagraph"/>
      </w:pPr>
      <w:r>
        <w:t xml:space="preserve">Title VII of the Rehabilitation Act establishes the foundation for Centers for Independent Living, outlining standards, assurances, and governance responsibilities.</w:t>
      </w:r>
    </w:p>
    <w:p>
      <w:pPr>
        <w:pStyle w:val="BodyText"/>
      </w:pPr>
      <w:r>
        <w:t xml:space="preserve">Board members are legally responsible for ensuring compliance with these requirements.</w:t>
      </w:r>
    </w:p>
    <w:p>
      <w:r>
        <w:pict>
          <v:rect style="width:0;height:1.5pt" o:hralign="center" o:hrstd="t" o:hr="t"/>
        </w:pict>
      </w:r>
    </w:p>
    <w:bookmarkEnd w:id="28"/>
    <w:bookmarkStart w:id="31" w:name="standards-and-assurances"/>
    <w:p>
      <w:pPr>
        <w:pStyle w:val="Heading2"/>
      </w:pPr>
      <w:r>
        <w:t xml:space="preserve">Standards and Assurances</w:t>
      </w:r>
    </w:p>
    <w:bookmarkStart w:id="29" w:name="standards"/>
    <w:p>
      <w:pPr>
        <w:pStyle w:val="Heading3"/>
      </w:pPr>
      <w:r>
        <w:t xml:space="preserve">Standards</w:t>
      </w:r>
    </w:p>
    <w:p>
      <w:pPr>
        <w:pStyle w:val="FirstParagraph"/>
      </w:pPr>
      <w:r>
        <w:t xml:space="preserve">Standards define required principles and practices, including consumer control, core services, and adherence to the Independent Living Philosophy.</w:t>
      </w:r>
    </w:p>
    <w:bookmarkEnd w:id="29"/>
    <w:bookmarkStart w:id="30" w:name="assurances"/>
    <w:p>
      <w:pPr>
        <w:pStyle w:val="Heading3"/>
      </w:pPr>
      <w:r>
        <w:t xml:space="preserve">Assurances</w:t>
      </w:r>
    </w:p>
    <w:p>
      <w:pPr>
        <w:pStyle w:val="FirstParagraph"/>
      </w:pPr>
      <w:r>
        <w:t xml:space="preserve">Assurances are commitments made to the federal government demonstrating how standards will be met, including planning, reporting, and accountability.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informed-decision-making"/>
    <w:p>
      <w:pPr>
        <w:pStyle w:val="Heading2"/>
      </w:pPr>
      <w:r>
        <w:t xml:space="preserve">Informed Decision-Making</w:t>
      </w:r>
    </w:p>
    <w:p>
      <w:pPr>
        <w:pStyle w:val="FirstParagraph"/>
      </w:pPr>
      <w:r>
        <w:t xml:space="preserve">Informed decision-making involves thoughtful analysis, consumer input, data review, and mission alignment. Decisions should not be rushed, funding-driven alone, or disconnected from the IL Philosophy.</w:t>
      </w:r>
    </w:p>
    <w:p>
      <w:r>
        <w:pict>
          <v:rect style="width:0;height:1.5pt" o:hralign="center" o:hrstd="t" o:hr="t"/>
        </w:pict>
      </w:r>
    </w:p>
    <w:bookmarkEnd w:id="32"/>
    <w:bookmarkStart w:id="33" w:name="X25a1395ce0942caca91541efebe71f8ae4362b4"/>
    <w:p>
      <w:pPr>
        <w:pStyle w:val="Heading2"/>
      </w:pPr>
      <w:r>
        <w:t xml:space="preserve">Reflection Scenarios and Discussion Questions</w:t>
      </w:r>
    </w:p>
    <w:p>
      <w:pPr>
        <w:pStyle w:val="FirstParagraph"/>
      </w:pPr>
      <w:r>
        <w:t xml:space="preserve">Participants are invited to reflect on scenarios related to mission drift, consumer voice, and board decision-making, followed by facilitated discussion after the recording ends.</w:t>
      </w:r>
    </w:p>
    <w:p>
      <w:r>
        <w:pict>
          <v:rect style="width:0;height:1.5pt" o:hralign="center" o:hrstd="t" o:hr="t"/>
        </w:pict>
      </w:r>
    </w:p>
    <w:bookmarkEnd w:id="33"/>
    <w:bookmarkStart w:id="34" w:name="closing-and-transition-to-discussion"/>
    <w:p>
      <w:pPr>
        <w:pStyle w:val="Heading2"/>
      </w:pPr>
      <w:r>
        <w:t xml:space="preserve">Closing and Transition to Discussion</w:t>
      </w:r>
    </w:p>
    <w:p>
      <w:pPr>
        <w:pStyle w:val="FirstParagraph"/>
      </w:pPr>
      <w:r>
        <w:t xml:space="preserve">The recording concludes prior to peer discussion. Participants are encouraged to complete the survey and engage in open dialogue.</w:t>
      </w:r>
    </w:p>
    <w:bookmarkEnd w:id="34"/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2025-12-19T00:47:08Z</dcterms:created>
  <dcterms:modified xsi:type="dcterms:W3CDTF">2025-12-19T00:47:08Z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