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21611ee532c32d60a6f8e2707ddb3f2940b0db6"/>
    <w:p>
      <w:pPr>
        <w:pStyle w:val="Heading1"/>
      </w:pPr>
      <w:r>
        <w:t xml:space="preserve">Good Governance: Building Highly Effective CIL Boards</w:t>
      </w:r>
    </w:p>
    <w:bookmarkStart w:id="20" w:name="X4c42b8b1f09b8ed1012a15746aaa54b60dc951a"/>
    <w:p>
      <w:pPr>
        <w:pStyle w:val="Heading2"/>
      </w:pPr>
      <w:r>
        <w:t xml:space="preserve">Strengthening Accountability &amp; Strategic Oversight</w:t>
      </w:r>
    </w:p>
    <w:p>
      <w:pPr>
        <w:pStyle w:val="FirstParagraph"/>
      </w:pPr>
      <w:r>
        <w:rPr>
          <w:b/>
          <w:bCs/>
        </w:rPr>
        <w:t xml:space="preserve">Cohort, Week 3 of 3</w:t>
      </w:r>
      <w:r>
        <w:br/>
      </w:r>
      <w:r>
        <w:rPr>
          <w:b/>
          <w:bCs/>
        </w:rPr>
        <w:t xml:space="preserve">Wednesday, December 17, 2025</w:t>
      </w:r>
    </w:p>
    <w:p>
      <w:pPr>
        <w:pStyle w:val="BodyText"/>
      </w:pPr>
      <w:r>
        <w:rPr>
          <w:i/>
          <w:iCs/>
        </w:rPr>
        <w:t xml:space="preserve">(Recording in progress)</w:t>
      </w:r>
      <w:r>
        <w:br/>
      </w:r>
      <w:r>
        <w:rPr>
          <w:i/>
          <w:iCs/>
        </w:rPr>
        <w:t xml:space="preserve">Live captioning by AI-Media</w:t>
      </w:r>
    </w:p>
    <w:p>
      <w:r>
        <w:pict>
          <v:rect style="width:0;height:1.5pt" o:hralign="center" o:hrstd="t" o:hr="t"/>
        </w:pict>
      </w:r>
    </w:p>
    <w:bookmarkEnd w:id="20"/>
    <w:bookmarkStart w:id="21" w:name="welcome-and-opening-remarks"/>
    <w:p>
      <w:pPr>
        <w:pStyle w:val="Heading2"/>
      </w:pPr>
      <w:r>
        <w:t xml:space="preserve">Welcome and Opening Remarks</w:t>
      </w:r>
    </w:p>
    <w:p>
      <w:pPr>
        <w:pStyle w:val="FirstParagraph"/>
      </w:pPr>
      <w:r>
        <w:rPr>
          <w:b/>
          <w:bCs/>
        </w:rPr>
        <w:t xml:space="preserve">BETHANY BALDWIN:</w:t>
      </w:r>
      <w:r>
        <w:br/>
      </w:r>
      <w:r>
        <w:t xml:space="preserve">Good afternoon everybody! Go ahead and get yourselves situated. And we will be getting started shortly.</w:t>
      </w:r>
    </w:p>
    <w:p>
      <w:pPr>
        <w:pStyle w:val="BodyText"/>
      </w:pPr>
      <w:r>
        <w:t xml:space="preserve">Alright. Well, let’s go ahead and get started. Welcome to today’s Independent Living Training and Technical Assistance Center small cohort covering Good Governance Building Highly Effective Boards. The IL T&amp;TA Center is available through contract with the US Department of Health and Human Services. It is operated by the University of Montana Rural Institute for Inclusive Communities.</w:t>
      </w:r>
    </w:p>
    <w:p>
      <w:pPr>
        <w:pStyle w:val="BodyText"/>
      </w:pPr>
      <w:r>
        <w:t xml:space="preserve">My name is Bethany Baldwin and I’m the Project Coordinator at the National Council on Independent Living, on assignment with this project. I use she/her pronounced and for a quick visible description I am a woman with light skin and wearing a beige sweater and glasses. And I’m looking forward to this cohort and the discussion afterwards.</w:t>
      </w:r>
    </w:p>
    <w:p>
      <w:r>
        <w:pict>
          <v:rect style="width:0;height:1.5pt" o:hralign="center" o:hrstd="t" o:hr="t"/>
        </w:pict>
      </w:r>
    </w:p>
    <w:bookmarkEnd w:id="21"/>
    <w:bookmarkStart w:id="22" w:name="housekeeping-and-accessibility-notes"/>
    <w:p>
      <w:pPr>
        <w:pStyle w:val="Heading2"/>
      </w:pPr>
      <w:r>
        <w:t xml:space="preserve">Housekeeping and Accessibility Notes</w:t>
      </w:r>
    </w:p>
    <w:p>
      <w:pPr>
        <w:pStyle w:val="FirstParagraph"/>
      </w:pPr>
      <w:r>
        <w:t xml:space="preserve">Moving into before we began. A few housekeeping and accessibility notes.</w:t>
      </w:r>
    </w:p>
    <w:p>
      <w:pPr>
        <w:pStyle w:val="BodyText"/>
      </w:pPr>
      <w:r>
        <w:t xml:space="preserve">ASL and Spanish Interpreters are available using the interpretation channel located in your Zoom bar menu.</w:t>
      </w:r>
    </w:p>
    <w:p>
      <w:pPr>
        <w:pStyle w:val="BodyText"/>
      </w:pPr>
      <w:r>
        <w:t xml:space="preserve">ASL Interpreters will be spotlighted but you can also see them in your individual settings. We do have captions available in both English and Spanish. To access English captioning, you can click the CC button on your Zoom bar menu or through the link that has been dropped into the chat.</w:t>
      </w:r>
    </w:p>
    <w:p>
      <w:pPr>
        <w:pStyle w:val="BodyText"/>
      </w:pPr>
      <w:r>
        <w:t xml:space="preserve">Throughout the call, you can message our IL T&amp;TA team using the Chat feature if you have difficulties with today’s call. We will be monitoring the chat and be sure to field any questions or comments.</w:t>
      </w:r>
    </w:p>
    <w:p>
      <w:pPr>
        <w:pStyle w:val="BodyText"/>
      </w:pPr>
      <w:r>
        <w:t xml:space="preserve">We also hope to have an active Q&amp;A portion after the presentation. Please use the Zoom Raise Hand or Chat feature is to ask questions, as well as stay on mute when you are not talking.</w:t>
      </w:r>
    </w:p>
    <w:p>
      <w:pPr>
        <w:pStyle w:val="BodyText"/>
      </w:pPr>
      <w:r>
        <w:t xml:space="preserve">For those of you joining on phone, press</w:t>
      </w:r>
      <w:r>
        <w:t xml:space="preserve"> </w:t>
      </w:r>
      <w:r>
        <w:rPr>
          <w:i/>
          <w:iCs/>
        </w:rPr>
        <w:t xml:space="preserve">six to talk or unmute yourself. Press</w:t>
      </w:r>
      <w:r>
        <w:rPr>
          <w:i/>
          <w:iCs/>
        </w:rPr>
        <w:t xml:space="preserve"> </w:t>
      </w:r>
      <w:r>
        <w:t xml:space="preserve">9 to raise your hand.</w:t>
      </w:r>
    </w:p>
    <w:p>
      <w:pPr>
        <w:pStyle w:val="BodyText"/>
      </w:pPr>
      <w:r>
        <w:t xml:space="preserve">And finally, take a moment at the end to complete the survey and we will drop in a link towards the end and it will also pop up at the close. Know that your feedback is essential and it helps us to improve our trainings and we want to make sure that we are meeting the needs of the aisle community.</w:t>
      </w:r>
    </w:p>
    <w:p>
      <w:r>
        <w:pict>
          <v:rect style="width:0;height:1.5pt" o:hralign="center" o:hrstd="t" o:hr="t"/>
        </w:pict>
      </w:r>
    </w:p>
    <w:bookmarkEnd w:id="22"/>
    <w:bookmarkStart w:id="23" w:name="cohort-learning-objectives"/>
    <w:p>
      <w:pPr>
        <w:pStyle w:val="Heading2"/>
      </w:pPr>
      <w:r>
        <w:t xml:space="preserve">Cohort Learning Objectives</w:t>
      </w:r>
    </w:p>
    <w:p>
      <w:pPr>
        <w:pStyle w:val="FirstParagraph"/>
      </w:pPr>
      <w:r>
        <w:t xml:space="preserve">Next slide, please. Cohort learning objectives.</w:t>
      </w:r>
    </w:p>
    <w:p>
      <w:pPr>
        <w:pStyle w:val="BodyText"/>
      </w:pPr>
      <w:r>
        <w:t xml:space="preserve">In week one, we focused on leadership roles and how they work together and practice. In week two, we centered the Independent Living Philosophy and reviewed SILC standards and assurances.</w:t>
      </w:r>
    </w:p>
    <w:p>
      <w:pPr>
        <w:pStyle w:val="BodyText"/>
      </w:pPr>
      <w:r>
        <w:t xml:space="preserve">And today as we are in week three, we are spending more time on board responsibilities related to strategic planning, financial oversight, and Organizational Accountability and how boards can actively support using strong governance, practical tools and resources.</w:t>
      </w:r>
    </w:p>
    <w:p>
      <w:pPr>
        <w:pStyle w:val="BodyText"/>
      </w:pPr>
      <w:r>
        <w:t xml:space="preserve">Our small cohort facilitator will be expending on these topics are the discussion, but if you miss it, we dropped a link that goes to all the Good Governance materials, including today’s session.</w:t>
      </w:r>
    </w:p>
    <w:p>
      <w:r>
        <w:pict>
          <v:rect style="width:0;height:1.5pt" o:hralign="center" o:hrstd="t" o:hr="t"/>
        </w:pict>
      </w:r>
    </w:p>
    <w:bookmarkEnd w:id="23"/>
    <w:bookmarkStart w:id="24" w:name="introduction-of-facilitator"/>
    <w:p>
      <w:pPr>
        <w:pStyle w:val="Heading2"/>
      </w:pPr>
      <w:r>
        <w:t xml:space="preserve">Introduction of Facilitator</w:t>
      </w:r>
    </w:p>
    <w:p>
      <w:pPr>
        <w:pStyle w:val="FirstParagraph"/>
      </w:pPr>
      <w:r>
        <w:t xml:space="preserve">Next slide, please. With that, I’m going to introduce our small cohort facilitator, Tyler Lasher Morris.</w:t>
      </w:r>
    </w:p>
    <w:p>
      <w:pPr>
        <w:pStyle w:val="BodyText"/>
      </w:pPr>
      <w:r>
        <w:t xml:space="preserve">For those of you just joining us today. He he’s a trainer at a IL T&amp;TA Center. I’m going to now handed off to him. Thank you Tyler!</w:t>
      </w:r>
    </w:p>
    <w:p>
      <w:r>
        <w:pict>
          <v:rect style="width:0;height:1.5pt" o:hralign="center" o:hrstd="t" o:hr="t"/>
        </w:pict>
      </w:r>
    </w:p>
    <w:bookmarkEnd w:id="24"/>
    <w:bookmarkStart w:id="25" w:name="facilitator-opening"/>
    <w:p>
      <w:pPr>
        <w:pStyle w:val="Heading2"/>
      </w:pPr>
      <w:r>
        <w:t xml:space="preserve">Facilitator Opening</w:t>
      </w:r>
    </w:p>
    <w:p>
      <w:pPr>
        <w:pStyle w:val="FirstParagraph"/>
      </w:pPr>
      <w:r>
        <w:rPr>
          <w:b/>
          <w:bCs/>
        </w:rPr>
        <w:t xml:space="preserve">TYLER MORRIS:</w:t>
      </w:r>
      <w:r>
        <w:br/>
      </w:r>
      <w:r>
        <w:t xml:space="preserve">Thank you so much for the intro. And hello to all of you! It’s bittersweet joining you today because this is our last training for the 2025 year. But we picked back up at the beginning of January, so I am happy to be here and celebrate our last training for the 2025 year.</w:t>
      </w:r>
    </w:p>
    <w:p>
      <w:pPr>
        <w:pStyle w:val="BodyText"/>
      </w:pPr>
      <w:r>
        <w:t xml:space="preserve">Quick visual description. I’m sending in my home office. A man in his mid life chapter with brown hair and glasses, wearing a blue sweater.</w:t>
      </w:r>
    </w:p>
    <w:p>
      <w:pPr>
        <w:pStyle w:val="BodyText"/>
      </w:pPr>
      <w:r>
        <w:t xml:space="preserve">Next slide, please.</w:t>
      </w:r>
    </w:p>
    <w:p>
      <w:r>
        <w:pict>
          <v:rect style="width:0;height:1.5pt" o:hralign="center" o:hrstd="t" o:hr="t"/>
        </w:pict>
      </w:r>
    </w:p>
    <w:bookmarkEnd w:id="25"/>
    <w:bookmarkStart w:id="26" w:name="cohort-overview-and-norms"/>
    <w:p>
      <w:pPr>
        <w:pStyle w:val="Heading2"/>
      </w:pPr>
      <w:r>
        <w:t xml:space="preserve">Cohort Overview and Norms</w:t>
      </w:r>
    </w:p>
    <w:p>
      <w:pPr>
        <w:pStyle w:val="FirstParagraph"/>
      </w:pPr>
      <w:r>
        <w:t xml:space="preserve">The cohort overview, this is—we’ve already talked about this a little bit and I hope this might not be your first of the three series that we did, but if it is, welcome!</w:t>
      </w:r>
    </w:p>
    <w:p>
      <w:pPr>
        <w:pStyle w:val="BodyText"/>
      </w:pPr>
      <w:r>
        <w:t xml:space="preserve">And as I’m going quickly over the norms, I really would like to see, since we have a smaller group today, some introductions into the chat. If you want to drop your name and which organization you are with, it would be great to see who is with us today and see some familiar faces. Hello, Sandra, for kicking us off.</w:t>
      </w:r>
    </w:p>
    <w:p>
      <w:pPr>
        <w:pStyle w:val="BodyText"/>
      </w:pPr>
      <w:r>
        <w:t xml:space="preserve">A quick overview on some norm so we can get into the – content today.</w:t>
      </w:r>
    </w:p>
    <w:p>
      <w:pPr>
        <w:pStyle w:val="BodyText"/>
      </w:pPr>
      <w:r>
        <w:t xml:space="preserve">Remember that we are going to be present and participate in today’s training, that we are all learning together even if we are at different stages of learning, and that we have mutual respect, and include the IL Philosophy in even our time together.</w:t>
      </w:r>
    </w:p>
    <w:p>
      <w:pPr>
        <w:pStyle w:val="BodyText"/>
      </w:pPr>
      <w:r>
        <w:t xml:space="preserve">Being respectful of one another and inclusive in the fact of making sure that you are saying things like,</w:t>
      </w:r>
      <w:r>
        <w:t xml:space="preserve"> </w:t>
      </w:r>
      <w:r>
        <w:t xml:space="preserve">“This is Tyler.”</w:t>
      </w:r>
      <w:r>
        <w:t xml:space="preserve"> </w:t>
      </w:r>
      <w:r>
        <w:t xml:space="preserve">Before you speak, that would be very helpful for us, that this is a space where we have the ability to build confidence and trust among your peers. And we are going to be respectful of your time.</w:t>
      </w:r>
    </w:p>
    <w:p>
      <w:pPr>
        <w:pStyle w:val="BodyText"/>
      </w:pPr>
      <w:r>
        <w:t xml:space="preserve">We have 60 minutes of content and hopefully a little bit less so we can open it up to all the questions you have all submitted for today’s discussion, or some that might be coming to your mind as we move through content.</w:t>
      </w:r>
    </w:p>
    <w:p>
      <w:r>
        <w:pict>
          <v:rect style="width:0;height:1.5pt" o:hralign="center" o:hrstd="t" o:hr="t"/>
        </w:pict>
      </w:r>
    </w:p>
    <w:bookmarkEnd w:id="26"/>
    <w:bookmarkStart w:id="31" w:name="core-governance-topics"/>
    <w:p>
      <w:pPr>
        <w:pStyle w:val="Heading2"/>
      </w:pPr>
      <w:r>
        <w:t xml:space="preserve">Core Governance Topics</w:t>
      </w:r>
    </w:p>
    <w:bookmarkStart w:id="30" w:name="board-ethics-and-fiduciary-duties"/>
    <w:p>
      <w:pPr>
        <w:pStyle w:val="Heading3"/>
      </w:pPr>
      <w:r>
        <w:t xml:space="preserve">Board Ethics and Fiduciary Duties</w:t>
      </w:r>
    </w:p>
    <w:p>
      <w:pPr>
        <w:pStyle w:val="FirstParagraph"/>
      </w:pPr>
      <w:r>
        <w:t xml:space="preserve">Board service comes with more than good intentions. Right? One hour visits for Board Meetings, just so you know there’s a lot more work that goes in with that. And with that work comes legal and ethical responsibilities.</w:t>
      </w:r>
    </w:p>
    <w:p>
      <w:pPr>
        <w:pStyle w:val="BodyText"/>
      </w:pPr>
      <w:r>
        <w:t xml:space="preserve">The three core duties that we will go over now our care, loyalty, and obedience. And each of these are essential to strong nonprofit – governance and consumer centered leadership.</w:t>
      </w:r>
    </w:p>
    <w:bookmarkStart w:id="27" w:name="duty-of-care"/>
    <w:p>
      <w:pPr>
        <w:pStyle w:val="Heading4"/>
      </w:pPr>
      <w:r>
        <w:t xml:space="preserve">Duty of Care</w:t>
      </w:r>
    </w:p>
    <w:p>
      <w:pPr>
        <w:pStyle w:val="FirstParagraph"/>
      </w:pPr>
      <w:r>
        <w:t xml:space="preserve">This duty involves informed participation, due diligence, and sound judgment. So, board members are expected to actively engage and make reasonable decisions based on available facts.</w:t>
      </w:r>
    </w:p>
    <w:p>
      <w:pPr>
        <w:pStyle w:val="BodyText"/>
      </w:pPr>
      <w:r>
        <w:t xml:space="preserve">So, some of those key expectations include attending meetings regularly and preparing in advance, overseeing financial accountability, ensuring organizational activities do not create foreseeable physical harm, acting consistently with the mission and in compliance with applicable local and state or federal laws.</w:t>
      </w:r>
    </w:p>
    <w:p>
      <w:pPr>
        <w:pStyle w:val="BodyText"/>
      </w:pPr>
      <w:r>
        <w:t xml:space="preserve">And remembering that care is not passive, it’s about attentiveness, it’s about action and safeguarding the organization’s effectiveness and integrity.</w:t>
      </w:r>
    </w:p>
    <w:bookmarkEnd w:id="27"/>
    <w:bookmarkStart w:id="28" w:name="duty-of-loyalty"/>
    <w:p>
      <w:pPr>
        <w:pStyle w:val="Heading4"/>
      </w:pPr>
      <w:r>
        <w:t xml:space="preserve">Duty of Loyalty</w:t>
      </w:r>
    </w:p>
    <w:p>
      <w:pPr>
        <w:pStyle w:val="FirstParagraph"/>
      </w:pPr>
      <w:r>
        <w:t xml:space="preserve">And this duty, board members are required to place the interests for Independent Living and its consumers above any personal gain.</w:t>
      </w:r>
    </w:p>
    <w:p>
      <w:pPr>
        <w:pStyle w:val="BodyText"/>
      </w:pPr>
      <w:r>
        <w:t xml:space="preserve">This includes making decisions that are free of personal conflict, disclosing any attentional conflicts of interests, refraining from self-dealing or advancing personal or professional interests, maintaining confidentiality and sensitive discussions.</w:t>
      </w:r>
    </w:p>
    <w:p>
      <w:pPr>
        <w:pStyle w:val="BodyText"/>
      </w:pPr>
      <w:r>
        <w:t xml:space="preserve">And loyalty ensures integrity. And it protects public trust and that is a very hard thing to earn back.</w:t>
      </w:r>
    </w:p>
    <w:bookmarkEnd w:id="28"/>
    <w:bookmarkStart w:id="29" w:name="duty-of-obedience"/>
    <w:p>
      <w:pPr>
        <w:pStyle w:val="Heading4"/>
      </w:pPr>
      <w:r>
        <w:t xml:space="preserve">Duty of Obedience</w:t>
      </w:r>
    </w:p>
    <w:p>
      <w:pPr>
        <w:pStyle w:val="FirstParagraph"/>
      </w:pPr>
      <w:r>
        <w:t xml:space="preserve">And lastly, on the next slide, we will talk about Duty of Obedience and this duty requires alignment with organization’s mission and the full compliance with laws, regulations, and governing documents.</w:t>
      </w:r>
    </w:p>
    <w:p>
      <w:pPr>
        <w:pStyle w:val="BodyText"/>
      </w:pPr>
      <w:r>
        <w:t xml:space="preserve">Ensuring that the organization follows its mission, that it applies with those laws and regulations, and adheres to the governing documents.</w:t>
      </w:r>
    </w:p>
    <w:p>
      <w:r>
        <w:pict>
          <v:rect style="width:0;height:1.5pt" o:hralign="center" o:hrstd="t" o:hr="t"/>
        </w:pict>
      </w:r>
    </w:p>
    <w:bookmarkEnd w:id="29"/>
    <w:bookmarkEnd w:id="30"/>
    <w:bookmarkEnd w:id="31"/>
    <w:bookmarkStart w:id="33" w:name="strategic-planning-responsibilities"/>
    <w:p>
      <w:pPr>
        <w:pStyle w:val="Heading2"/>
      </w:pPr>
      <w:r>
        <w:t xml:space="preserve">Strategic Planning Responsibilities</w:t>
      </w:r>
    </w:p>
    <w:bookmarkStart w:id="32" w:name="role-of-the-board-in-strategic-planning"/>
    <w:p>
      <w:pPr>
        <w:pStyle w:val="Heading3"/>
      </w:pPr>
      <w:r>
        <w:t xml:space="preserve">Role of the Board in Strategic Planning</w:t>
      </w:r>
    </w:p>
    <w:p>
      <w:pPr>
        <w:pStyle w:val="FirstParagraph"/>
      </w:pPr>
      <w:r>
        <w:t xml:space="preserve">Strategic Planning is a requirement that we have talked about at last week’s session and as a board member, your role in strategic planning is vital and not just procedural, this is not a strategic plan that you check off and say,</w:t>
      </w:r>
      <w:r>
        <w:t xml:space="preserve"> </w:t>
      </w:r>
      <w:r>
        <w:t xml:space="preserve">“Let’s do it.”</w:t>
      </w:r>
    </w:p>
    <w:p>
      <w:pPr>
        <w:pStyle w:val="BodyText"/>
      </w:pPr>
      <w:r>
        <w:t xml:space="preserve">It has to be a purposeful document to your organization and that includes your participation in its form and oversight.</w:t>
      </w:r>
    </w:p>
    <w:p>
      <w:pPr>
        <w:pStyle w:val="BodyText"/>
      </w:pPr>
      <w:r>
        <w:t xml:space="preserve">Strategic planning is where we shape the future of the organization and your voice helps align that future with both the mission and the values of the Independent Living Philosophy.</w:t>
      </w:r>
    </w:p>
    <w:p>
      <w:r>
        <w:pict>
          <v:rect style="width:0;height:1.5pt" o:hralign="center" o:hrstd="t" o:hr="t"/>
        </w:pict>
      </w:r>
    </w:p>
    <w:bookmarkEnd w:id="32"/>
    <w:bookmarkEnd w:id="33"/>
    <w:bookmarkStart w:id="35" w:name="fiscal-oversight"/>
    <w:p>
      <w:pPr>
        <w:pStyle w:val="Heading2"/>
      </w:pPr>
      <w:r>
        <w:t xml:space="preserve">Fiscal Oversight</w:t>
      </w:r>
    </w:p>
    <w:bookmarkStart w:id="34" w:name="X924ede7547738a1c666c37695ccebdd21f2a91c"/>
    <w:p>
      <w:pPr>
        <w:pStyle w:val="Heading3"/>
      </w:pPr>
      <w:r>
        <w:t xml:space="preserve">Board Responsibilities for Financial Stewardship</w:t>
      </w:r>
    </w:p>
    <w:p>
      <w:pPr>
        <w:pStyle w:val="FirstParagraph"/>
      </w:pPr>
      <w:r>
        <w:t xml:space="preserve">What is your role in Fiscal Oversight? I will say that, of the topics that we are discussing today, this is often seen and involves a lot of work when it shifts away at the goal or having or for site for organizations.</w:t>
      </w:r>
    </w:p>
    <w:p>
      <w:pPr>
        <w:pStyle w:val="BodyText"/>
      </w:pPr>
      <w:r>
        <w:t xml:space="preserve">As a board member, your role is to make sure you review and approve budgets to ensure alignment with mission and goals.</w:t>
      </w:r>
    </w:p>
    <w:p>
      <w:pPr>
        <w:pStyle w:val="BodyText"/>
      </w:pPr>
      <w:r>
        <w:t xml:space="preserve">Monitoring financial reports is very important and if you don’t know how to read them, it’s OK. Raise your hand and ask.</w:t>
      </w:r>
    </w:p>
    <w:p>
      <w:r>
        <w:pict>
          <v:rect style="width:0;height:1.5pt" o:hralign="center" o:hrstd="t" o:hr="t"/>
        </w:pict>
      </w:r>
    </w:p>
    <w:bookmarkEnd w:id="34"/>
    <w:bookmarkEnd w:id="35"/>
    <w:bookmarkStart w:id="37" w:name="organizational-accountability"/>
    <w:p>
      <w:pPr>
        <w:pStyle w:val="Heading2"/>
      </w:pPr>
      <w:r>
        <w:t xml:space="preserve">Organizational Accountability</w:t>
      </w:r>
    </w:p>
    <w:bookmarkStart w:id="36" w:name="oversight-and-integrity"/>
    <w:p>
      <w:pPr>
        <w:pStyle w:val="Heading3"/>
      </w:pPr>
      <w:r>
        <w:t xml:space="preserve">Oversight and Integrity</w:t>
      </w:r>
    </w:p>
    <w:p>
      <w:pPr>
        <w:pStyle w:val="FirstParagraph"/>
      </w:pPr>
      <w:r>
        <w:t xml:space="preserve">In Organizational Accountability, you serve, you have a strong oversight role in the organization’s integrity and its effectiveness.</w:t>
      </w:r>
    </w:p>
    <w:p>
      <w:pPr>
        <w:pStyle w:val="BodyText"/>
      </w:pPr>
      <w:r>
        <w:t xml:space="preserve">As a board member, your Organizational Accountability ensures that everything that is done by your organization, it aligns with the mission, it meets the legal standards, and reflects the values of the Independent Living movement.</w:t>
      </w:r>
    </w:p>
    <w:p>
      <w:r>
        <w:pict>
          <v:rect style="width:0;height:1.5pt" o:hralign="center" o:hrstd="t" o:hr="t"/>
        </w:pict>
      </w:r>
    </w:p>
    <w:bookmarkEnd w:id="36"/>
    <w:bookmarkEnd w:id="37"/>
    <w:bookmarkStart w:id="39" w:name="governance-documents"/>
    <w:p>
      <w:pPr>
        <w:pStyle w:val="Heading2"/>
      </w:pPr>
      <w:r>
        <w:t xml:space="preserve">Governance Documents</w:t>
      </w:r>
    </w:p>
    <w:bookmarkStart w:id="38" w:name="purpose-impact-and-ownership"/>
    <w:p>
      <w:pPr>
        <w:pStyle w:val="Heading3"/>
      </w:pPr>
      <w:r>
        <w:t xml:space="preserve">Purpose, Impact, and Ownership</w:t>
      </w:r>
    </w:p>
    <w:p>
      <w:pPr>
        <w:pStyle w:val="FirstParagraph"/>
      </w:pPr>
      <w:r>
        <w:t xml:space="preserve">As we move through this section, we are going to look at examples of documents that support leadership in fulfilling the governance responsibilities.</w:t>
      </w:r>
    </w:p>
    <w:p>
      <w:pPr>
        <w:pStyle w:val="BodyText"/>
      </w:pPr>
      <w:r>
        <w:t xml:space="preserve">So as we review each one, I would invite you to reflect on these three lenses as we are looking at them for reflection.</w:t>
      </w:r>
    </w:p>
    <w:p>
      <w:pPr>
        <w:pStyle w:val="BodyText"/>
      </w:pPr>
      <w:r>
        <w:t xml:space="preserve">• Purpose and alignment</w:t>
      </w:r>
      <w:r>
        <w:br/>
      </w:r>
      <w:r>
        <w:t xml:space="preserve">• Impact and utility</w:t>
      </w:r>
      <w:r>
        <w:br/>
      </w:r>
      <w:r>
        <w:t xml:space="preserve">• Ownership and engagement</w:t>
      </w:r>
    </w:p>
    <w:p>
      <w:r>
        <w:pict>
          <v:rect style="width:0;height:1.5pt" o:hralign="center" o:hrstd="t" o:hr="t"/>
        </w:pict>
      </w:r>
    </w:p>
    <w:bookmarkEnd w:id="38"/>
    <w:bookmarkEnd w:id="39"/>
    <w:bookmarkStart w:id="41" w:name="board-engagement-best-practices"/>
    <w:p>
      <w:pPr>
        <w:pStyle w:val="Heading2"/>
      </w:pPr>
      <w:r>
        <w:t xml:space="preserve">Board Engagement Best Practices</w:t>
      </w:r>
    </w:p>
    <w:bookmarkStart w:id="40" w:name="expectations-for-effective-board-service"/>
    <w:p>
      <w:pPr>
        <w:pStyle w:val="Heading3"/>
      </w:pPr>
      <w:r>
        <w:t xml:space="preserve">Expectations for Effective Board Service</w:t>
      </w:r>
    </w:p>
    <w:p>
      <w:pPr>
        <w:pStyle w:val="FirstParagraph"/>
      </w:pPr>
      <w:r>
        <w:t xml:space="preserve">Showing up and coming prepared. Reviewing those documents before you get there. Focusing on the mission of the organization, not the day-to-day management of the organization.</w:t>
      </w:r>
    </w:p>
    <w:p>
      <w:pPr>
        <w:pStyle w:val="BodyText"/>
      </w:pPr>
      <w:r>
        <w:t xml:space="preserve">Practice active listening, disclose and manage conflicts of interest, maintain confidentiality, and respect the work being done behind the scenes.</w:t>
      </w:r>
    </w:p>
    <w:p>
      <w:pPr>
        <w:pStyle w:val="BodyText"/>
      </w:pPr>
      <w:r>
        <w:t xml:space="preserve">And lastly and probably most importantly. If you say something do it. Make sure you have the follow-through.</w:t>
      </w:r>
    </w:p>
    <w:p>
      <w:r>
        <w:pict>
          <v:rect style="width:0;height:1.5pt" o:hralign="center" o:hrstd="t" o:hr="t"/>
        </w:pict>
      </w:r>
    </w:p>
    <w:bookmarkEnd w:id="40"/>
    <w:bookmarkEnd w:id="41"/>
    <w:bookmarkStart w:id="43" w:name="effective-board-meetings"/>
    <w:p>
      <w:pPr>
        <w:pStyle w:val="Heading2"/>
      </w:pPr>
      <w:r>
        <w:t xml:space="preserve">Effective Board Meetings</w:t>
      </w:r>
    </w:p>
    <w:bookmarkStart w:id="42" w:name="critical-components"/>
    <w:p>
      <w:pPr>
        <w:pStyle w:val="Heading3"/>
      </w:pPr>
      <w:r>
        <w:t xml:space="preserve">Critical Components</w:t>
      </w:r>
    </w:p>
    <w:p>
      <w:pPr>
        <w:pStyle w:val="FirstParagraph"/>
      </w:pPr>
      <w:r>
        <w:t xml:space="preserve">Respecting meeting start and end times. Agendas focused on key topics. Materials shared early in accessible formats.</w:t>
      </w:r>
    </w:p>
    <w:p>
      <w:pPr>
        <w:pStyle w:val="BodyText"/>
      </w:pPr>
      <w:r>
        <w:t xml:space="preserve">Meetings follow rules of order to stay fair and organized. Decisions are clearly stated and documented.</w:t>
      </w:r>
    </w:p>
    <w:p>
      <w:r>
        <w:pict>
          <v:rect style="width:0;height:1.5pt" o:hralign="center" o:hrstd="t" o:hr="t"/>
        </w:pict>
      </w:r>
    </w:p>
    <w:bookmarkEnd w:id="42"/>
    <w:bookmarkEnd w:id="43"/>
    <w:bookmarkStart w:id="44" w:name="X25a1395ce0942caca91541efebe71f8ae4362b4"/>
    <w:p>
      <w:pPr>
        <w:pStyle w:val="Heading2"/>
      </w:pPr>
      <w:r>
        <w:t xml:space="preserve">Reflection Scenarios and Discussion Questions</w:t>
      </w:r>
    </w:p>
    <w:p>
      <w:pPr>
        <w:pStyle w:val="FirstParagraph"/>
      </w:pPr>
      <w:r>
        <w:t xml:space="preserve">Scenario one, your CIL adopted a three-year strategic plan last year. At recent board meetings, update on the plan haven’t been included.</w:t>
      </w:r>
    </w:p>
    <w:p>
      <w:pPr>
        <w:pStyle w:val="BodyText"/>
      </w:pPr>
      <w:r>
        <w:t xml:space="preserve">Scenario two, six months into the fiscal year, the board learns that the organization is significantly over budget in several program areas.</w:t>
      </w:r>
    </w:p>
    <w:p>
      <w:pPr>
        <w:pStyle w:val="BodyText"/>
      </w:pPr>
      <w:r>
        <w:t xml:space="preserve">Scenario three, an anonymous complaint alleges that staff but your CIL feel uncomfortable raising concerns internally.</w:t>
      </w:r>
    </w:p>
    <w:p>
      <w:r>
        <w:pict>
          <v:rect style="width:0;height:1.5pt" o:hralign="center" o:hrstd="t" o:hr="t"/>
        </w:pict>
      </w:r>
    </w:p>
    <w:bookmarkEnd w:id="44"/>
    <w:bookmarkStart w:id="45" w:name="closing-and-transition-to-discussion"/>
    <w:p>
      <w:pPr>
        <w:pStyle w:val="Heading2"/>
      </w:pPr>
      <w:r>
        <w:t xml:space="preserve">Closing and Transition to Discussion</w:t>
      </w:r>
    </w:p>
    <w:p>
      <w:pPr>
        <w:pStyle w:val="FirstParagraph"/>
      </w:pPr>
      <w:r>
        <w:t xml:space="preserve">This is the time for you all. We are going to come off of recording you can turn on your cameras and keep us company. We are going to drop the questions in the chat.</w:t>
      </w:r>
    </w:p>
    <w:bookmarkEnd w:id="45"/>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2025-12-18T21:41:00Z</dcterms:created>
  <dcterms:modified xsi:type="dcterms:W3CDTF">2025-12-18T21:41:00Z</dcterms:modified>
</cp:coreProperties>
</file>

<file path=docProps/custom.xml><?xml version="1.0" encoding="utf-8"?>
<Properties xmlns="http://schemas.openxmlformats.org/officeDocument/2006/custom-properties" xmlns:vt="http://schemas.openxmlformats.org/officeDocument/2006/docPropsVTypes"/>
</file>