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0C25" w14:textId="08ED5A38" w:rsidR="009746A1" w:rsidRPr="009746A1" w:rsidRDefault="1D249B1B" w:rsidP="0098069A">
      <w:pPr>
        <w:pStyle w:val="Title"/>
      </w:pPr>
      <w:r w:rsidRPr="00ED65E4">
        <w:rPr>
          <w:b/>
          <w:lang w:bidi="es-ES"/>
        </w:rPr>
        <w:t xml:space="preserve">Conexión SILC: </w:t>
      </w:r>
      <w:r w:rsidRPr="00ED65E4">
        <w:rPr>
          <w:sz w:val="48"/>
          <w:szCs w:val="48"/>
          <w:lang w:bidi="es-ES"/>
        </w:rPr>
        <w:t xml:space="preserve">Reclutamiento de miembros del consejo y </w:t>
      </w:r>
      <w:r w:rsidR="00F956A0">
        <w:rPr>
          <w:sz w:val="48"/>
          <w:szCs w:val="48"/>
          <w:lang w:bidi="es-ES"/>
        </w:rPr>
        <w:t>términos</w:t>
      </w:r>
    </w:p>
    <w:p w14:paraId="1960AA25" w14:textId="017A3184" w:rsidR="00E60A05" w:rsidRDefault="00B77FC3" w:rsidP="009746A1">
      <w:pPr>
        <w:jc w:val="center"/>
        <w:rPr>
          <w:noProof/>
        </w:rPr>
      </w:pPr>
      <w:r>
        <w:rPr>
          <w:noProof/>
          <w:lang w:bidi="es-ES"/>
        </w:rPr>
        <w:t>20 de enero de 2026</w:t>
      </w:r>
    </w:p>
    <w:p w14:paraId="5400A6B5" w14:textId="77777777" w:rsidR="009746A1" w:rsidRPr="00ED65E4" w:rsidRDefault="009746A1" w:rsidP="009746A1">
      <w:pPr>
        <w:jc w:val="center"/>
      </w:pPr>
    </w:p>
    <w:p w14:paraId="686F582C" w14:textId="77777777" w:rsidR="00ED65E4" w:rsidRDefault="00A91DC1" w:rsidP="000530E0">
      <w:pPr>
        <w:pStyle w:val="Heading1"/>
        <w:jc w:val="center"/>
      </w:pPr>
      <w:r w:rsidRPr="00ED65E4">
        <w:rPr>
          <w:noProof/>
        </w:rPr>
        <w:drawing>
          <wp:inline distT="0" distB="0" distL="0" distR="0" wp14:anchorId="398D0B86" wp14:editId="273A08C4">
            <wp:extent cx="3274646" cy="1452600"/>
            <wp:effectExtent l="0" t="0" r="2540" b="0"/>
            <wp:docPr id="1461855592" name="Picture 1461855592" descr="Logotipo de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Logotipo de IL T&amp;TA: Centro de Capacitación y Asistencia Técnica en Vida Independi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849" cy="1458013"/>
                    </a:xfrm>
                    <a:prstGeom prst="rect">
                      <a:avLst/>
                    </a:prstGeom>
                  </pic:spPr>
                </pic:pic>
              </a:graphicData>
            </a:graphic>
          </wp:inline>
        </w:drawing>
      </w:r>
    </w:p>
    <w:p w14:paraId="4506561C" w14:textId="489A7460" w:rsidR="115B0B91" w:rsidRPr="00ED65E4" w:rsidRDefault="000E05A5" w:rsidP="000530E0">
      <w:pPr>
        <w:pStyle w:val="Heading1"/>
        <w:spacing w:after="0"/>
        <w:rPr>
          <w:rFonts w:eastAsia="Aptos Display" w:cs="Aptos Display"/>
        </w:rPr>
      </w:pPr>
      <w:r w:rsidRPr="00ED65E4">
        <w:br w:type="page"/>
      </w:r>
      <w:r w:rsidR="45881338" w:rsidRPr="00ED65E4">
        <w:lastRenderedPageBreak/>
        <w:t>Antes de comenzar</w:t>
      </w:r>
    </w:p>
    <w:p w14:paraId="0328C6D3" w14:textId="7F382F99" w:rsidR="115B0B91" w:rsidRPr="000530E0" w:rsidRDefault="45881338" w:rsidP="000530E0">
      <w:pPr>
        <w:spacing w:after="80" w:line="276" w:lineRule="auto"/>
        <w:ind w:left="-86"/>
        <w:rPr>
          <w:sz w:val="25"/>
          <w:szCs w:val="25"/>
        </w:rPr>
      </w:pPr>
      <w:r w:rsidRPr="000530E0">
        <w:rPr>
          <w:sz w:val="25"/>
          <w:szCs w:val="25"/>
          <w:lang w:bidi="es-ES"/>
        </w:rPr>
        <w:t>Los intérpretes de Lengua de Señas Americana (ASL) y español están disponibles e identificados.</w:t>
      </w:r>
    </w:p>
    <w:p w14:paraId="5AE7E5E5" w14:textId="1F6DD0E6" w:rsidR="115B0B91" w:rsidRPr="000530E0" w:rsidRDefault="45881338" w:rsidP="000530E0">
      <w:pPr>
        <w:spacing w:after="80" w:line="276" w:lineRule="auto"/>
        <w:ind w:left="-86"/>
        <w:rPr>
          <w:sz w:val="25"/>
          <w:szCs w:val="25"/>
        </w:rPr>
      </w:pPr>
      <w:r w:rsidRPr="000530E0">
        <w:rPr>
          <w:sz w:val="25"/>
          <w:szCs w:val="25"/>
          <w:lang w:bidi="es-ES"/>
        </w:rPr>
        <w:t>Acceda a los subtítulos haciendo clic en el botón “CC” ubicado en la parte inferior de la ventana de Zoom.</w:t>
      </w:r>
    </w:p>
    <w:p w14:paraId="3000FFAE" w14:textId="3F7C49CE" w:rsidR="115B0B91" w:rsidRPr="000530E0" w:rsidRDefault="45881338" w:rsidP="000530E0">
      <w:pPr>
        <w:spacing w:after="80" w:line="276" w:lineRule="auto"/>
        <w:ind w:left="-86"/>
        <w:rPr>
          <w:sz w:val="25"/>
          <w:szCs w:val="25"/>
        </w:rPr>
      </w:pPr>
      <w:r w:rsidRPr="000530E0">
        <w:rPr>
          <w:sz w:val="25"/>
          <w:szCs w:val="25"/>
          <w:lang w:bidi="es-ES"/>
        </w:rPr>
        <w:t>Para hacer preguntas, utilice las funciones de “levantar la mano” o el “chat” de Zoom.</w:t>
      </w:r>
    </w:p>
    <w:p w14:paraId="4873A02A" w14:textId="2B1C8C58" w:rsidR="008818C8" w:rsidRPr="000530E0" w:rsidRDefault="008818C8" w:rsidP="000530E0">
      <w:pPr>
        <w:spacing w:after="80" w:line="276" w:lineRule="auto"/>
        <w:ind w:left="-86"/>
        <w:rPr>
          <w:sz w:val="25"/>
          <w:szCs w:val="25"/>
        </w:rPr>
      </w:pPr>
      <w:r w:rsidRPr="000530E0">
        <w:rPr>
          <w:sz w:val="25"/>
          <w:szCs w:val="25"/>
          <w:lang w:bidi="es-ES"/>
        </w:rPr>
        <w:t>Utilice el cuadro de preguntas y respuestas para enviarnos sus preguntas en cualquier momento.</w:t>
      </w:r>
    </w:p>
    <w:p w14:paraId="48F0B4C6" w14:textId="1854546D" w:rsidR="115B0B91" w:rsidRPr="000530E0" w:rsidRDefault="45881338" w:rsidP="000530E0">
      <w:pPr>
        <w:spacing w:after="80" w:line="276" w:lineRule="auto"/>
        <w:ind w:left="-86"/>
        <w:rPr>
          <w:sz w:val="25"/>
          <w:szCs w:val="25"/>
        </w:rPr>
      </w:pPr>
      <w:r w:rsidRPr="000530E0">
        <w:rPr>
          <w:sz w:val="25"/>
          <w:szCs w:val="25"/>
          <w:lang w:bidi="es-ES"/>
        </w:rPr>
        <w:t>Antes de hablar, recuerde mencionar su nombre y organización a la que pertenece.</w:t>
      </w:r>
    </w:p>
    <w:p w14:paraId="503818BD" w14:textId="72BB9002" w:rsidR="115B0B91" w:rsidRPr="000530E0" w:rsidRDefault="45881338" w:rsidP="000530E0">
      <w:pPr>
        <w:spacing w:after="80" w:line="276" w:lineRule="auto"/>
        <w:ind w:left="-86"/>
        <w:rPr>
          <w:sz w:val="25"/>
          <w:szCs w:val="25"/>
        </w:rPr>
      </w:pPr>
      <w:r w:rsidRPr="000530E0">
        <w:rPr>
          <w:sz w:val="25"/>
          <w:szCs w:val="25"/>
          <w:lang w:bidi="es-ES"/>
        </w:rPr>
        <w:t>Envíe un mensaje a nuestro equipo de IL T&amp;TA a través del chat si tiene dificultades con la llamada de hoy.</w:t>
      </w:r>
    </w:p>
    <w:p w14:paraId="5ECA8242" w14:textId="37402C06" w:rsidR="00B77FC3" w:rsidRPr="00B77FC3" w:rsidRDefault="45881338" w:rsidP="000530E0">
      <w:pPr>
        <w:spacing w:after="80" w:line="276" w:lineRule="auto"/>
        <w:ind w:left="-86"/>
      </w:pPr>
      <w:r w:rsidRPr="000530E0">
        <w:rPr>
          <w:sz w:val="25"/>
          <w:szCs w:val="25"/>
          <w:lang w:bidi="es-ES"/>
        </w:rPr>
        <w:t>Complete la encuesta al final de la capacitación.</w:t>
      </w:r>
      <w:r w:rsidRPr="00F956A0">
        <w:rPr>
          <w:sz w:val="24"/>
          <w:szCs w:val="24"/>
          <w:lang w:bidi="es-ES"/>
        </w:rPr>
        <w:t xml:space="preserve"> </w:t>
      </w:r>
      <w:r w:rsidR="00B77FC3">
        <w:rPr>
          <w:lang w:bidi="es-ES"/>
        </w:rPr>
        <w:br w:type="page"/>
      </w:r>
    </w:p>
    <w:p w14:paraId="797B431D" w14:textId="77777777" w:rsidR="00B77FC3" w:rsidRPr="004F7499" w:rsidRDefault="00B77FC3" w:rsidP="000530E0">
      <w:pPr>
        <w:pStyle w:val="Heading1"/>
      </w:pPr>
      <w:r w:rsidRPr="004F7499">
        <w:lastRenderedPageBreak/>
        <w:t xml:space="preserve">Agenda de hoy: </w:t>
      </w:r>
    </w:p>
    <w:p w14:paraId="08CABB5B" w14:textId="77777777" w:rsidR="00B77FC3" w:rsidRPr="004F7499" w:rsidRDefault="00B77FC3" w:rsidP="00B77FC3">
      <w:pPr>
        <w:pStyle w:val="Heading3"/>
      </w:pPr>
      <w:r w:rsidRPr="004F7499">
        <w:rPr>
          <w:lang w:bidi="es-ES"/>
        </w:rPr>
        <w:t>Conclusiones clave:</w:t>
      </w:r>
    </w:p>
    <w:p w14:paraId="648251AC" w14:textId="77777777" w:rsidR="00B77FC3" w:rsidRDefault="00B77FC3" w:rsidP="00B77FC3">
      <w:pPr>
        <w:pStyle w:val="BulletedList"/>
      </w:pPr>
      <w:r>
        <w:rPr>
          <w:lang w:bidi="es-ES"/>
        </w:rPr>
        <w:t>Entender la composición del SILC y los límites de mandato de sus miembros</w:t>
      </w:r>
    </w:p>
    <w:p w14:paraId="7684157D" w14:textId="77777777" w:rsidR="00B77FC3" w:rsidRPr="004F7499" w:rsidRDefault="00B77FC3" w:rsidP="00B77FC3">
      <w:pPr>
        <w:pStyle w:val="BulletedList"/>
      </w:pPr>
      <w:r w:rsidRPr="004F7499">
        <w:rPr>
          <w:lang w:bidi="es-ES"/>
        </w:rPr>
        <w:t>Identificar estrategias de reclutamiento para fortalecer su consejo.</w:t>
      </w:r>
    </w:p>
    <w:p w14:paraId="6021B192" w14:textId="77777777" w:rsidR="00B77FC3" w:rsidRPr="00D17982" w:rsidRDefault="00B77FC3" w:rsidP="00B77FC3">
      <w:pPr>
        <w:pStyle w:val="Heading3"/>
      </w:pPr>
      <w:r w:rsidRPr="3A20E016">
        <w:rPr>
          <w:lang w:bidi="es-ES"/>
        </w:rPr>
        <w:t>Objetivo general:</w:t>
      </w:r>
    </w:p>
    <w:p w14:paraId="00348266" w14:textId="09B2E8F3" w:rsidR="00B77FC3" w:rsidRDefault="00B77FC3" w:rsidP="00B77FC3">
      <w:pPr>
        <w:pStyle w:val="ListParagraph"/>
        <w:numPr>
          <w:ilvl w:val="0"/>
          <w:numId w:val="20"/>
        </w:numPr>
      </w:pPr>
      <w:r w:rsidRPr="486C157E">
        <w:rPr>
          <w:lang w:bidi="es-ES"/>
        </w:rPr>
        <w:t>¡Aprendamos juntos y unos de otros!</w:t>
      </w:r>
    </w:p>
    <w:p w14:paraId="059D96E8" w14:textId="241D8D24" w:rsidR="00B77FC3" w:rsidRDefault="00B77FC3" w:rsidP="00B77FC3">
      <w:pPr>
        <w:ind w:left="0"/>
      </w:pPr>
      <w:r>
        <w:rPr>
          <w:lang w:bidi="es-ES"/>
        </w:rPr>
        <w:br w:type="page"/>
      </w:r>
    </w:p>
    <w:p w14:paraId="3550DAA0" w14:textId="5A156D29" w:rsidR="00331B94" w:rsidRDefault="00331B94" w:rsidP="000530E0">
      <w:pPr>
        <w:pStyle w:val="Style1"/>
      </w:pPr>
      <w:r w:rsidRPr="005B0883">
        <w:lastRenderedPageBreak/>
        <w:t>Presentador</w:t>
      </w:r>
    </w:p>
    <w:p w14:paraId="31B0DB45" w14:textId="77777777" w:rsidR="00D40BA5" w:rsidRDefault="00D40BA5" w:rsidP="00331B94">
      <w:pPr>
        <w:jc w:val="center"/>
        <w:rPr>
          <w:b/>
          <w:bCs/>
        </w:rPr>
      </w:pPr>
    </w:p>
    <w:p w14:paraId="6AD627DA" w14:textId="580D8759" w:rsidR="00D40BA5" w:rsidRDefault="00331B94" w:rsidP="00D40BA5">
      <w:r w:rsidRPr="00D40BA5">
        <w:rPr>
          <w:b/>
          <w:noProof/>
          <w:color w:val="000000" w:themeColor="text1"/>
          <w:lang w:bidi="es-ES"/>
        </w:rPr>
        <w:drawing>
          <wp:anchor distT="0" distB="0" distL="114300" distR="114300" simplePos="0" relativeHeight="251660288" behindDoc="1" locked="0" layoutInCell="1" allowOverlap="1" wp14:anchorId="1F66C5B0" wp14:editId="15D088A8">
            <wp:simplePos x="0" y="0"/>
            <wp:positionH relativeFrom="margin">
              <wp:posOffset>-50800</wp:posOffset>
            </wp:positionH>
            <wp:positionV relativeFrom="paragraph">
              <wp:posOffset>35560</wp:posOffset>
            </wp:positionV>
            <wp:extent cx="1016000" cy="960755"/>
            <wp:effectExtent l="0" t="0" r="0" b="4445"/>
            <wp:wrapTight wrapText="bothSides">
              <wp:wrapPolygon edited="0">
                <wp:start x="0" y="0"/>
                <wp:lineTo x="0" y="21414"/>
                <wp:lineTo x="21330" y="21414"/>
                <wp:lineTo x="21330" y="0"/>
                <wp:lineTo x="0" y="0"/>
              </wp:wrapPolygon>
            </wp:wrapTight>
            <wp:docPr id="2094190377" name="Picture 2094190377" descr="Logo for NASILC Peer to Peer. The image features five stylized human figures in a circular formation, each a different color (green, yellow, red, purple, and blue), symbolizing unity and collaboration. In the center, black text reads “NASILC” at the top, with “Peer To Peer” stack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0377" name="Picture 2094190377" descr="Logo for NASILC Peer to Peer. The image features five stylized human figures in a circular formation, each a different color (green, yellow, red, purple, and blue), symbolizing unity and collaboration. In the center, black text reads “NASILC” at the top, with “Peer To Peer” stacked below."/>
                    <pic:cNvPicPr/>
                  </pic:nvPicPr>
                  <pic:blipFill rotWithShape="1">
                    <a:blip r:embed="rId12" cstate="print">
                      <a:extLst>
                        <a:ext uri="{28A0092B-C50C-407E-A947-70E740481C1C}">
                          <a14:useLocalDpi xmlns:a14="http://schemas.microsoft.com/office/drawing/2010/main" val="0"/>
                        </a:ext>
                      </a:extLst>
                    </a:blip>
                    <a:srcRect t="5367"/>
                    <a:stretch>
                      <a:fillRect/>
                    </a:stretch>
                  </pic:blipFill>
                  <pic:spPr bwMode="auto">
                    <a:xfrm>
                      <a:off x="0" y="0"/>
                      <a:ext cx="1016000" cy="960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0883">
        <w:rPr>
          <w:b/>
          <w:lang w:bidi="es-ES"/>
        </w:rPr>
        <w:t xml:space="preserve">Brooke Wilson </w:t>
      </w:r>
      <w:r w:rsidRPr="005B0883">
        <w:rPr>
          <w:b/>
          <w:lang w:bidi="es-ES"/>
        </w:rPr>
        <w:br/>
      </w:r>
      <w:r w:rsidRPr="005B0883">
        <w:rPr>
          <w:lang w:bidi="es-ES"/>
        </w:rPr>
        <w:t>Presidente de la Asociación Nacional de Consejos Estatales para la Vida Independiente (NASILC)</w:t>
      </w:r>
    </w:p>
    <w:p w14:paraId="77A9CC0C" w14:textId="096872B8" w:rsidR="00B77FC3" w:rsidRDefault="00B77FC3">
      <w:pPr>
        <w:ind w:left="0"/>
        <w:rPr>
          <w:rStyle w:val="Heading1Char"/>
        </w:rPr>
      </w:pPr>
      <w:r>
        <w:rPr>
          <w:rStyle w:val="Heading1Char"/>
        </w:rPr>
        <w:br w:type="page"/>
      </w:r>
    </w:p>
    <w:p w14:paraId="092E3F70" w14:textId="5DCB21EE" w:rsidR="00BD4E43" w:rsidRDefault="00E26202" w:rsidP="000530E0">
      <w:pPr>
        <w:pStyle w:val="Heading1"/>
      </w:pPr>
      <w:r>
        <w:rPr>
          <w:noProof/>
        </w:rPr>
        <w:lastRenderedPageBreak/>
        <w:drawing>
          <wp:anchor distT="0" distB="0" distL="114300" distR="114300" simplePos="0" relativeHeight="251671552" behindDoc="1" locked="0" layoutInCell="1" allowOverlap="1" wp14:anchorId="095B90F0" wp14:editId="0461C598">
            <wp:simplePos x="0" y="0"/>
            <wp:positionH relativeFrom="column">
              <wp:posOffset>2254689</wp:posOffset>
            </wp:positionH>
            <wp:positionV relativeFrom="paragraph">
              <wp:posOffset>293810</wp:posOffset>
            </wp:positionV>
            <wp:extent cx="1546860" cy="1546860"/>
            <wp:effectExtent l="0" t="0" r="0" b="0"/>
            <wp:wrapTight wrapText="bothSides">
              <wp:wrapPolygon edited="0">
                <wp:start x="9754" y="4079"/>
                <wp:lineTo x="4079" y="5143"/>
                <wp:lineTo x="2483" y="5675"/>
                <wp:lineTo x="2483" y="7271"/>
                <wp:lineTo x="1419" y="10108"/>
                <wp:lineTo x="1419" y="17379"/>
                <wp:lineTo x="20039" y="17379"/>
                <wp:lineTo x="20039" y="10108"/>
                <wp:lineTo x="18975" y="7271"/>
                <wp:lineTo x="19153" y="5852"/>
                <wp:lineTo x="17379" y="5143"/>
                <wp:lineTo x="11704" y="4079"/>
                <wp:lineTo x="9754" y="4079"/>
              </wp:wrapPolygon>
            </wp:wrapTight>
            <wp:docPr id="1144799648" name="Graphic 3" descr="Ícono que representa un consejo o grupo de personas, simbolizando un Consejo Estatal de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99648" name="Graphic 3" descr="Ícono que representa un consejo o grupo de personas, simbolizando un Consejo Estatal de Vida Independiente."/>
                    <pic:cNvPicPr/>
                  </pic:nvPicPr>
                  <pic:blipFill>
                    <a:blip r:embed="rId13">
                      <a:extLst>
                        <a:ext uri="{96DAC541-7B7A-43D3-8B79-37D633B846F1}">
                          <asvg:svgBlip xmlns:asvg="http://schemas.microsoft.com/office/drawing/2016/SVG/main" r:embed="rId14"/>
                        </a:ext>
                      </a:extLst>
                    </a:blip>
                    <a:stretch>
                      <a:fillRect/>
                    </a:stretch>
                  </pic:blipFill>
                  <pic:spPr>
                    <a:xfrm>
                      <a:off x="0" y="0"/>
                      <a:ext cx="1546860" cy="1546860"/>
                    </a:xfrm>
                    <a:prstGeom prst="rect">
                      <a:avLst/>
                    </a:prstGeom>
                  </pic:spPr>
                </pic:pic>
              </a:graphicData>
            </a:graphic>
            <wp14:sizeRelH relativeFrom="page">
              <wp14:pctWidth>0</wp14:pctWidth>
            </wp14:sizeRelH>
            <wp14:sizeRelV relativeFrom="page">
              <wp14:pctHeight>0</wp14:pctHeight>
            </wp14:sizeRelV>
          </wp:anchor>
        </w:drawing>
      </w:r>
      <w:r w:rsidR="00BD4E43">
        <w:t>Título VII de la Ley de Rehabilitación de 1973</w:t>
      </w:r>
    </w:p>
    <w:p w14:paraId="44B63F46" w14:textId="39574043" w:rsidR="00B77FC3" w:rsidRPr="00BD4E43" w:rsidRDefault="00B77FC3" w:rsidP="00BD4E43">
      <w:pPr>
        <w:pStyle w:val="Heading2"/>
      </w:pPr>
      <w:hyperlink r:id="rId15" w:history="1">
        <w:r w:rsidRPr="00FD3AFE">
          <w:rPr>
            <w:rStyle w:val="Hyperlink"/>
            <w:lang w:bidi="es-ES"/>
          </w:rPr>
          <w:t xml:space="preserve">Sec. 705 CONSEJO PARA LA VIDA INDEPENDIENTE A NIVEL ESTATAL </w:t>
        </w:r>
      </w:hyperlink>
      <w:r w:rsidRPr="00B77FC3">
        <w:rPr>
          <w:lang w:bidi="es-ES"/>
        </w:rPr>
        <w:t xml:space="preserve"> </w:t>
      </w:r>
    </w:p>
    <w:p w14:paraId="1EA62B36" w14:textId="05CFB362" w:rsidR="00B77FC3" w:rsidRDefault="00B77FC3" w:rsidP="00B77FC3">
      <w:pPr>
        <w:pStyle w:val="BulletedList"/>
        <w:numPr>
          <w:ilvl w:val="0"/>
          <w:numId w:val="21"/>
        </w:numPr>
      </w:pPr>
      <w:r w:rsidRPr="00637619">
        <w:rPr>
          <w:rFonts w:eastAsia="Montserrat"/>
          <w:lang w:bidi="es-ES"/>
        </w:rPr>
        <w:t xml:space="preserve">CREACIÓN: para ser elegible para recibir asistencia financiera bajo este capítulo, cada Estado </w:t>
      </w:r>
      <w:r w:rsidRPr="00E913B5">
        <w:rPr>
          <w:rFonts w:eastAsia="NewCenturySchlbk-Roman"/>
          <w:b/>
          <w:lang w:bidi="es-ES"/>
        </w:rPr>
        <w:t>deberá</w:t>
      </w:r>
      <w:r>
        <w:rPr>
          <w:rFonts w:eastAsia="NewCenturySchlbk-Roman"/>
          <w:lang w:bidi="es-ES"/>
        </w:rPr>
        <w:t xml:space="preserve"> establecer y mantener un Consejo para la Vida Independiente a Nivel Estatal (denominado en esta sección como el </w:t>
      </w:r>
      <w:r>
        <w:rPr>
          <w:lang w:bidi="es-ES"/>
        </w:rPr>
        <w:t>“Con</w:t>
      </w:r>
      <w:r>
        <w:rPr>
          <w:rFonts w:eastAsia="NewCenturySchlbk-Roman"/>
          <w:lang w:bidi="es-ES"/>
        </w:rPr>
        <w:t>sejo</w:t>
      </w:r>
      <w:r>
        <w:rPr>
          <w:lang w:bidi="es-ES"/>
        </w:rPr>
        <w:t>”</w:t>
      </w:r>
      <w:r>
        <w:rPr>
          <w:rFonts w:eastAsia="NewCenturySchlbk-Roman"/>
          <w:lang w:bidi="es-ES"/>
        </w:rPr>
        <w:t xml:space="preserve">). </w:t>
      </w:r>
    </w:p>
    <w:p w14:paraId="199022EA" w14:textId="19D384DA" w:rsidR="00B77FC3" w:rsidRPr="00E26202" w:rsidRDefault="00B77FC3" w:rsidP="00E26202">
      <w:pPr>
        <w:pStyle w:val="BulletedList"/>
        <w:numPr>
          <w:ilvl w:val="0"/>
          <w:numId w:val="0"/>
        </w:numPr>
        <w:ind w:left="756"/>
        <w:rPr>
          <w:rStyle w:val="Heading1Char"/>
          <w:rFonts w:eastAsiaTheme="minorEastAsia" w:cstheme="minorBidi"/>
          <w:b w:val="0"/>
          <w:bCs w:val="0"/>
          <w:color w:val="auto"/>
          <w:sz w:val="26"/>
          <w:szCs w:val="26"/>
        </w:rPr>
      </w:pPr>
      <w:r>
        <w:rPr>
          <w:lang w:bidi="es-ES"/>
        </w:rPr>
        <w:t>E</w:t>
      </w:r>
      <w:r>
        <w:rPr>
          <w:rFonts w:eastAsia="NewCenturySchlbk-Roman"/>
          <w:lang w:bidi="es-ES"/>
        </w:rPr>
        <w:t xml:space="preserve">l Consejo </w:t>
      </w:r>
      <w:r w:rsidRPr="00BD4E43">
        <w:rPr>
          <w:rFonts w:eastAsia="NewCenturySchlbk-Roman"/>
          <w:b/>
          <w:lang w:bidi="es-ES"/>
        </w:rPr>
        <w:t>no se</w:t>
      </w:r>
      <w:r>
        <w:rPr>
          <w:rFonts w:eastAsia="NewCenturySchlbk-Roman"/>
          <w:lang w:bidi="es-ES"/>
        </w:rPr>
        <w:t xml:space="preserve"> creará como una entidad dentro de una agencia estatal.</w:t>
      </w:r>
    </w:p>
    <w:p w14:paraId="51E5DC54" w14:textId="0705AE26" w:rsidR="00B77FC3" w:rsidRDefault="00B77FC3">
      <w:pPr>
        <w:ind w:left="0"/>
        <w:rPr>
          <w:rStyle w:val="Heading1Char"/>
          <w:rFonts w:eastAsia="Aptos" w:cs="Aptos"/>
          <w:b w:val="0"/>
          <w:bCs w:val="0"/>
          <w:color w:val="auto"/>
          <w:sz w:val="26"/>
          <w:szCs w:val="26"/>
        </w:rPr>
      </w:pPr>
      <w:r>
        <w:rPr>
          <w:rStyle w:val="Heading1Char"/>
          <w:rFonts w:eastAsia="Aptos" w:cs="Aptos"/>
          <w:b w:val="0"/>
          <w:color w:val="auto"/>
          <w:sz w:val="26"/>
          <w:szCs w:val="26"/>
        </w:rPr>
        <w:br w:type="page"/>
      </w:r>
    </w:p>
    <w:p w14:paraId="4F02C3AA" w14:textId="77777777" w:rsidR="00B77FC3" w:rsidRPr="00485ED3" w:rsidRDefault="00B77FC3" w:rsidP="000530E0">
      <w:pPr>
        <w:pStyle w:val="Heading1"/>
      </w:pPr>
      <w:r w:rsidRPr="00485ED3">
        <w:lastRenderedPageBreak/>
        <w:t>Composición y Designación</w:t>
      </w:r>
    </w:p>
    <w:p w14:paraId="2A3BB105" w14:textId="271635BE" w:rsidR="00B77FC3" w:rsidRDefault="00B77FC3" w:rsidP="00F956A0">
      <w:pPr>
        <w:rPr>
          <w:rStyle w:val="Heading1Char"/>
          <w:rFonts w:eastAsia="Aptos" w:cs="Aptos"/>
          <w:b w:val="0"/>
          <w:bCs w:val="0"/>
          <w:color w:val="auto"/>
          <w:sz w:val="26"/>
          <w:szCs w:val="26"/>
        </w:rPr>
      </w:pPr>
      <w:r w:rsidRPr="00F96BF4">
        <w:rPr>
          <w:lang w:bidi="es-ES"/>
        </w:rPr>
        <w:t>(1) DESIGNACIÓN</w:t>
      </w:r>
      <w:r w:rsidRPr="00F96BF4">
        <w:rPr>
          <w:rFonts w:hint="eastAsia"/>
          <w:lang w:bidi="es-ES"/>
        </w:rPr>
        <w:t>:</w:t>
      </w:r>
      <w:r w:rsidRPr="00F96BF4">
        <w:rPr>
          <w:lang w:bidi="es-ES"/>
        </w:rPr>
        <w:t xml:space="preserve"> los miembros del Consejo </w:t>
      </w:r>
      <w:r w:rsidRPr="00F96BF4">
        <w:rPr>
          <w:b/>
          <w:lang w:bidi="es-ES"/>
        </w:rPr>
        <w:t>serán</w:t>
      </w:r>
      <w:r w:rsidRPr="00F96BF4">
        <w:rPr>
          <w:lang w:bidi="es-ES"/>
        </w:rPr>
        <w:t xml:space="preserve"> designados por el Gobernador o, en el caso de un Estado que, bajo la ley estatal, otorgue autoridad para la administración de las actividades realizadas bajo esta Ley a una entidad distinta del Gobernador (como una o más cámaras de la legislatura estatal o una junta independiente), por el funcionario principal de dicha entidad. La autoridad de designación </w:t>
      </w:r>
      <w:r w:rsidRPr="00F96BF4">
        <w:rPr>
          <w:b/>
          <w:lang w:bidi="es-ES"/>
        </w:rPr>
        <w:t>deberá</w:t>
      </w:r>
      <w:r w:rsidRPr="00F96BF4">
        <w:rPr>
          <w:lang w:bidi="es-ES"/>
        </w:rPr>
        <w:t xml:space="preserve"> seleccionar a los miembros después de solicitar recomendaciones de representantes de organizaciones que representan a una amplia gama de personas con discapacidades y organizaciones interesadas en personas con discapacidades.</w:t>
      </w:r>
      <w:r>
        <w:rPr>
          <w:rStyle w:val="Heading1Char"/>
          <w:rFonts w:eastAsia="Aptos" w:cs="Aptos"/>
          <w:b w:val="0"/>
          <w:color w:val="auto"/>
          <w:sz w:val="26"/>
          <w:szCs w:val="26"/>
        </w:rPr>
        <w:br w:type="page"/>
      </w:r>
    </w:p>
    <w:p w14:paraId="2BD17A39" w14:textId="77777777" w:rsidR="00B77FC3" w:rsidRPr="00485ED3" w:rsidRDefault="00B77FC3" w:rsidP="003F5FAB">
      <w:pPr>
        <w:pStyle w:val="Heading1"/>
        <w:spacing w:after="0"/>
      </w:pPr>
      <w:r w:rsidRPr="00485ED3">
        <w:lastRenderedPageBreak/>
        <w:t xml:space="preserve">COMPOSICIÓN </w:t>
      </w:r>
    </w:p>
    <w:p w14:paraId="1E4AA205" w14:textId="77777777" w:rsidR="00B77FC3" w:rsidRPr="00306627" w:rsidRDefault="00B77FC3" w:rsidP="003F5FAB">
      <w:r w:rsidRPr="00306627">
        <w:rPr>
          <w:lang w:bidi="es-ES"/>
        </w:rPr>
        <w:t>(2) COMPOSICIÓN</w:t>
      </w:r>
      <w:r w:rsidRPr="00306627">
        <w:rPr>
          <w:rFonts w:hint="eastAsia"/>
          <w:lang w:bidi="es-ES"/>
        </w:rPr>
        <w:t>:</w:t>
      </w:r>
      <w:r w:rsidRPr="00306627">
        <w:rPr>
          <w:lang w:bidi="es-ES"/>
        </w:rPr>
        <w:t xml:space="preserve"> el Consejo </w:t>
      </w:r>
      <w:r w:rsidRPr="00306627">
        <w:rPr>
          <w:b/>
          <w:lang w:bidi="es-ES"/>
        </w:rPr>
        <w:t>deberá</w:t>
      </w:r>
      <w:r w:rsidRPr="00306627">
        <w:rPr>
          <w:lang w:bidi="es-ES"/>
        </w:rPr>
        <w:t xml:space="preserve"> incluir</w:t>
      </w:r>
      <w:r w:rsidRPr="00306627">
        <w:rPr>
          <w:rFonts w:hint="eastAsia"/>
          <w:lang w:bidi="es-ES"/>
        </w:rPr>
        <w:t>:</w:t>
      </w:r>
    </w:p>
    <w:p w14:paraId="6353E475" w14:textId="77777777" w:rsidR="003F5FAB" w:rsidRPr="003F5FAB" w:rsidRDefault="00B77FC3" w:rsidP="003F5FAB">
      <w:pPr>
        <w:spacing w:afterLines="20" w:after="48" w:line="276" w:lineRule="auto"/>
        <w:ind w:left="86"/>
        <w:rPr>
          <w:sz w:val="24"/>
          <w:szCs w:val="24"/>
          <w:lang w:bidi="es-ES"/>
        </w:rPr>
      </w:pPr>
      <w:r w:rsidRPr="003F5FAB">
        <w:rPr>
          <w:sz w:val="24"/>
          <w:szCs w:val="24"/>
          <w:lang w:bidi="es-ES"/>
        </w:rPr>
        <w:t>(A) entre sus miembros con derecho a voto, al menos 1 director de un centro para la vida independiente elegido por los directores de centros para la vida independiente dentro del estado;</w:t>
      </w:r>
    </w:p>
    <w:p w14:paraId="2E59E6C1" w14:textId="1031D8B9" w:rsidR="00B77FC3" w:rsidRPr="003F5FAB" w:rsidRDefault="00B77FC3" w:rsidP="003F5FAB">
      <w:pPr>
        <w:spacing w:afterLines="20" w:after="48" w:line="276" w:lineRule="auto"/>
        <w:ind w:left="86"/>
        <w:rPr>
          <w:sz w:val="24"/>
          <w:szCs w:val="24"/>
        </w:rPr>
      </w:pPr>
      <w:r w:rsidRPr="003F5FAB">
        <w:rPr>
          <w:sz w:val="24"/>
          <w:szCs w:val="24"/>
        </w:rPr>
        <w:t>(B) entre sus miembros con derecho a voto, para un estado en el que 1 o más centros para la vida independiente son administrados por, o en conjunto con, los órganos de gobierno de tribus indígenas americanas ubicadas en reservas federales o estatales, al menos 1 representante de los directores de tales centros; y</w:t>
      </w:r>
    </w:p>
    <w:p w14:paraId="49F654C7" w14:textId="77777777" w:rsidR="00B77FC3" w:rsidRPr="003F5FAB" w:rsidRDefault="00B77FC3" w:rsidP="003F5FAB">
      <w:pPr>
        <w:spacing w:afterLines="20" w:after="48" w:line="276" w:lineRule="auto"/>
        <w:ind w:left="90"/>
        <w:rPr>
          <w:sz w:val="24"/>
          <w:szCs w:val="24"/>
        </w:rPr>
      </w:pPr>
      <w:r w:rsidRPr="003F5FAB">
        <w:rPr>
          <w:sz w:val="24"/>
          <w:szCs w:val="24"/>
          <w:lang w:bidi="es-ES"/>
        </w:rPr>
        <w:t>(C) como miembros ex officio, sin derecho a voto, un representante de la entidad estatal designada, y representantes de</w:t>
      </w:r>
    </w:p>
    <w:p w14:paraId="4F6C65BA" w14:textId="3562885D" w:rsidR="00B77FC3" w:rsidRPr="00485ED3" w:rsidRDefault="00B77FC3" w:rsidP="003F5FAB">
      <w:pPr>
        <w:spacing w:afterLines="20" w:after="48" w:line="276" w:lineRule="auto"/>
        <w:ind w:left="90"/>
        <w:rPr>
          <w:sz w:val="24"/>
          <w:szCs w:val="24"/>
        </w:rPr>
      </w:pPr>
      <w:r w:rsidRPr="003F5FAB">
        <w:rPr>
          <w:sz w:val="24"/>
          <w:szCs w:val="24"/>
          <w:lang w:bidi="es-ES"/>
        </w:rPr>
        <w:t>agencias estatales que brindan servicios para personas con discapacidades.</w:t>
      </w:r>
      <w:r>
        <w:rPr>
          <w:lang w:bidi="es-ES"/>
        </w:rPr>
        <w:br w:type="page"/>
      </w:r>
    </w:p>
    <w:p w14:paraId="0C87725B" w14:textId="77777777" w:rsidR="00B77FC3" w:rsidRPr="00485ED3" w:rsidRDefault="00B77FC3" w:rsidP="000530E0">
      <w:pPr>
        <w:pStyle w:val="Heading1"/>
      </w:pPr>
      <w:r w:rsidRPr="00485ED3">
        <w:lastRenderedPageBreak/>
        <w:t>MIEMBROS ADICIONALES</w:t>
      </w:r>
    </w:p>
    <w:p w14:paraId="433AC21C" w14:textId="77777777" w:rsidR="00B77FC3" w:rsidRPr="00B366D4" w:rsidRDefault="00B77FC3" w:rsidP="00B77FC3">
      <w:r w:rsidRPr="00B366D4">
        <w:rPr>
          <w:lang w:bidi="es-ES"/>
        </w:rPr>
        <w:t>(3) MIEMBROS ADICIONALES</w:t>
      </w:r>
      <w:r w:rsidRPr="00B366D4">
        <w:rPr>
          <w:rFonts w:hint="eastAsia"/>
          <w:lang w:bidi="es-ES"/>
        </w:rPr>
        <w:t>:</w:t>
      </w:r>
      <w:r w:rsidRPr="00B366D4">
        <w:rPr>
          <w:lang w:bidi="es-ES"/>
        </w:rPr>
        <w:t xml:space="preserve"> el Consejo podrá incluir</w:t>
      </w:r>
      <w:r w:rsidRPr="00B366D4">
        <w:rPr>
          <w:rFonts w:hint="eastAsia"/>
          <w:lang w:bidi="es-ES"/>
        </w:rPr>
        <w:t>:</w:t>
      </w:r>
    </w:p>
    <w:p w14:paraId="403576BA" w14:textId="77777777" w:rsidR="00B77FC3" w:rsidRPr="000530E0" w:rsidRDefault="00B77FC3" w:rsidP="00485ED3">
      <w:pPr>
        <w:ind w:left="360"/>
        <w:rPr>
          <w:sz w:val="25"/>
          <w:szCs w:val="25"/>
        </w:rPr>
      </w:pPr>
      <w:r w:rsidRPr="000530E0">
        <w:rPr>
          <w:sz w:val="25"/>
          <w:szCs w:val="25"/>
          <w:lang w:bidi="es-ES"/>
        </w:rPr>
        <w:t>A) otros representantes de centros para la vida independiente;</w:t>
      </w:r>
    </w:p>
    <w:p w14:paraId="5E188D25" w14:textId="77777777" w:rsidR="00B77FC3" w:rsidRPr="000530E0" w:rsidRDefault="00B77FC3" w:rsidP="00485ED3">
      <w:pPr>
        <w:ind w:left="360"/>
        <w:rPr>
          <w:sz w:val="25"/>
          <w:szCs w:val="25"/>
        </w:rPr>
      </w:pPr>
      <w:r w:rsidRPr="000530E0">
        <w:rPr>
          <w:sz w:val="25"/>
          <w:szCs w:val="25"/>
          <w:lang w:bidi="es-ES"/>
        </w:rPr>
        <w:t>B) personas con discapacidades;</w:t>
      </w:r>
    </w:p>
    <w:p w14:paraId="6EEB9A88" w14:textId="77777777" w:rsidR="00B77FC3" w:rsidRPr="000530E0" w:rsidRDefault="00B77FC3" w:rsidP="00485ED3">
      <w:pPr>
        <w:ind w:left="360"/>
        <w:rPr>
          <w:sz w:val="25"/>
          <w:szCs w:val="25"/>
        </w:rPr>
      </w:pPr>
      <w:r w:rsidRPr="000530E0">
        <w:rPr>
          <w:sz w:val="25"/>
          <w:szCs w:val="25"/>
          <w:lang w:bidi="es-ES"/>
        </w:rPr>
        <w:t>C) padres y tutores de personas con discapacidades;</w:t>
      </w:r>
    </w:p>
    <w:p w14:paraId="5F94484B" w14:textId="77777777" w:rsidR="00B77FC3" w:rsidRPr="000530E0" w:rsidRDefault="00B77FC3" w:rsidP="00485ED3">
      <w:pPr>
        <w:ind w:left="360"/>
        <w:rPr>
          <w:sz w:val="25"/>
          <w:szCs w:val="25"/>
        </w:rPr>
      </w:pPr>
      <w:r w:rsidRPr="000530E0">
        <w:rPr>
          <w:sz w:val="25"/>
          <w:szCs w:val="25"/>
          <w:lang w:bidi="es-ES"/>
        </w:rPr>
        <w:t>D) defensores de y para personas con discapacidades;</w:t>
      </w:r>
    </w:p>
    <w:p w14:paraId="56A64CDF" w14:textId="77777777" w:rsidR="00B77FC3" w:rsidRPr="000530E0" w:rsidRDefault="00B77FC3" w:rsidP="00485ED3">
      <w:pPr>
        <w:ind w:left="360"/>
        <w:rPr>
          <w:sz w:val="25"/>
          <w:szCs w:val="25"/>
        </w:rPr>
      </w:pPr>
      <w:r w:rsidRPr="000530E0">
        <w:rPr>
          <w:sz w:val="25"/>
          <w:szCs w:val="25"/>
          <w:lang w:bidi="es-ES"/>
        </w:rPr>
        <w:t>E) representantes de empresas privadas;</w:t>
      </w:r>
    </w:p>
    <w:p w14:paraId="44DFE8DE" w14:textId="77777777" w:rsidR="00B77FC3" w:rsidRPr="000530E0" w:rsidRDefault="00B77FC3" w:rsidP="00485ED3">
      <w:pPr>
        <w:ind w:left="360"/>
        <w:rPr>
          <w:rFonts w:ascii="NewCenturySchlbk-Roman" w:eastAsia="NewCenturySchlbk-Roman" w:hAnsiTheme="minorHAnsi" w:cs="NewCenturySchlbk-Roman"/>
          <w:sz w:val="25"/>
          <w:szCs w:val="25"/>
        </w:rPr>
      </w:pPr>
      <w:r w:rsidRPr="000530E0">
        <w:rPr>
          <w:sz w:val="25"/>
          <w:szCs w:val="25"/>
          <w:lang w:bidi="es-ES"/>
        </w:rPr>
        <w:t xml:space="preserve">(F) representantes de organizaciones que brindan servicios para personas con discapacidades; y </w:t>
      </w:r>
    </w:p>
    <w:p w14:paraId="5CF56F07" w14:textId="77777777" w:rsidR="00B77FC3" w:rsidRPr="00D17982" w:rsidRDefault="00B77FC3" w:rsidP="00485ED3">
      <w:pPr>
        <w:ind w:left="360"/>
      </w:pPr>
      <w:r w:rsidRPr="000530E0">
        <w:rPr>
          <w:sz w:val="25"/>
          <w:szCs w:val="25"/>
          <w:lang w:bidi="es-ES"/>
        </w:rPr>
        <w:t>(G) otras personas idóneas.</w:t>
      </w:r>
      <w:r w:rsidRPr="47093652">
        <w:rPr>
          <w:lang w:bidi="es-ES"/>
        </w:rPr>
        <w:br w:type="page"/>
      </w:r>
    </w:p>
    <w:p w14:paraId="44337601" w14:textId="77777777" w:rsidR="00B77FC3" w:rsidRPr="00485ED3" w:rsidRDefault="00B77FC3" w:rsidP="000530E0">
      <w:pPr>
        <w:pStyle w:val="Heading1"/>
      </w:pPr>
      <w:r w:rsidRPr="00485ED3">
        <w:lastRenderedPageBreak/>
        <w:t>CALIFICACIONES:</w:t>
      </w:r>
    </w:p>
    <w:p w14:paraId="0542D97C" w14:textId="77777777" w:rsidR="00B77FC3" w:rsidRPr="000971CA" w:rsidRDefault="00B77FC3" w:rsidP="00B77FC3">
      <w:r w:rsidRPr="000971CA">
        <w:rPr>
          <w:lang w:bidi="es-ES"/>
        </w:rPr>
        <w:t>(A) EN GENERAL</w:t>
      </w:r>
      <w:r w:rsidRPr="000971CA">
        <w:rPr>
          <w:rFonts w:hint="eastAsia"/>
          <w:lang w:bidi="es-ES"/>
        </w:rPr>
        <w:t>:</w:t>
      </w:r>
      <w:r w:rsidRPr="000971CA">
        <w:rPr>
          <w:lang w:bidi="es-ES"/>
        </w:rPr>
        <w:t xml:space="preserve"> el Consejo </w:t>
      </w:r>
      <w:r w:rsidRPr="000971CA">
        <w:rPr>
          <w:b/>
          <w:lang w:bidi="es-ES"/>
        </w:rPr>
        <w:t>deberá</w:t>
      </w:r>
      <w:r w:rsidRPr="000971CA">
        <w:rPr>
          <w:lang w:bidi="es-ES"/>
        </w:rPr>
        <w:t xml:space="preserve"> estar compuesto por miembros</w:t>
      </w:r>
      <w:r w:rsidRPr="000971CA">
        <w:rPr>
          <w:rFonts w:hint="eastAsia"/>
          <w:lang w:bidi="es-ES"/>
        </w:rPr>
        <w:t>:</w:t>
      </w:r>
    </w:p>
    <w:p w14:paraId="709E2AB5" w14:textId="77777777" w:rsidR="00B77FC3" w:rsidRPr="000530E0" w:rsidRDefault="00B77FC3" w:rsidP="000530E0">
      <w:pPr>
        <w:ind w:left="90"/>
        <w:rPr>
          <w:sz w:val="25"/>
          <w:szCs w:val="25"/>
        </w:rPr>
      </w:pPr>
      <w:r w:rsidRPr="000530E0">
        <w:rPr>
          <w:sz w:val="25"/>
          <w:szCs w:val="25"/>
          <w:lang w:bidi="es-ES"/>
        </w:rPr>
        <w:t>(i) que proporcionen representación a nivel estatal;</w:t>
      </w:r>
    </w:p>
    <w:p w14:paraId="7ED95896" w14:textId="77777777" w:rsidR="00B77FC3" w:rsidRPr="000530E0" w:rsidRDefault="00B77FC3" w:rsidP="000530E0">
      <w:pPr>
        <w:ind w:left="90"/>
        <w:rPr>
          <w:sz w:val="25"/>
          <w:szCs w:val="25"/>
        </w:rPr>
      </w:pPr>
      <w:r w:rsidRPr="000530E0">
        <w:rPr>
          <w:sz w:val="25"/>
          <w:szCs w:val="25"/>
          <w:lang w:bidi="es-ES"/>
        </w:rPr>
        <w:t>(ii) que representen una amplia gama de personas con discapacidades de diversos orígenes;</w:t>
      </w:r>
    </w:p>
    <w:p w14:paraId="732875FD" w14:textId="77777777" w:rsidR="00B77FC3" w:rsidRPr="000530E0" w:rsidRDefault="00B77FC3" w:rsidP="000530E0">
      <w:pPr>
        <w:ind w:left="90"/>
        <w:rPr>
          <w:sz w:val="25"/>
          <w:szCs w:val="25"/>
        </w:rPr>
      </w:pPr>
      <w:r w:rsidRPr="000530E0">
        <w:rPr>
          <w:sz w:val="25"/>
          <w:szCs w:val="25"/>
          <w:lang w:bidi="es-ES"/>
        </w:rPr>
        <w:t>(iii) que tengan conocimiento sobre centros para la vida independiente y servicios de vida independiente; y</w:t>
      </w:r>
    </w:p>
    <w:p w14:paraId="724362B8" w14:textId="77777777" w:rsidR="00B77FC3" w:rsidRPr="000530E0" w:rsidRDefault="00B77FC3" w:rsidP="000530E0">
      <w:pPr>
        <w:ind w:left="90"/>
        <w:rPr>
          <w:sz w:val="25"/>
          <w:szCs w:val="25"/>
        </w:rPr>
      </w:pPr>
      <w:r w:rsidRPr="000530E0">
        <w:rPr>
          <w:sz w:val="25"/>
          <w:szCs w:val="25"/>
          <w:lang w:bidi="es-ES"/>
        </w:rPr>
        <w:t>(iv) la mayoría de los cuales sean</w:t>
      </w:r>
      <w:r w:rsidRPr="000530E0">
        <w:rPr>
          <w:rFonts w:hint="eastAsia"/>
          <w:sz w:val="25"/>
          <w:szCs w:val="25"/>
          <w:lang w:bidi="es-ES"/>
        </w:rPr>
        <w:t>:</w:t>
      </w:r>
    </w:p>
    <w:p w14:paraId="0FAF9BD7" w14:textId="381EE2CD" w:rsidR="00B77FC3" w:rsidRPr="000530E0" w:rsidRDefault="00B77FC3" w:rsidP="000530E0">
      <w:pPr>
        <w:ind w:left="90"/>
        <w:rPr>
          <w:sz w:val="25"/>
          <w:szCs w:val="25"/>
        </w:rPr>
      </w:pPr>
      <w:r w:rsidRPr="000530E0">
        <w:rPr>
          <w:sz w:val="25"/>
          <w:szCs w:val="25"/>
          <w:lang w:bidi="es-ES"/>
        </w:rPr>
        <w:t>(I) personas con discapacidades descritas en</w:t>
      </w:r>
      <w:r w:rsidR="00F956A0" w:rsidRPr="000530E0">
        <w:rPr>
          <w:sz w:val="25"/>
          <w:szCs w:val="25"/>
        </w:rPr>
        <w:t xml:space="preserve"> </w:t>
      </w:r>
      <w:r w:rsidRPr="000530E0">
        <w:rPr>
          <w:sz w:val="25"/>
          <w:szCs w:val="25"/>
          <w:lang w:bidi="es-ES"/>
        </w:rPr>
        <w:t>la sección 7(20)(B); y</w:t>
      </w:r>
    </w:p>
    <w:p w14:paraId="051D653E" w14:textId="53C1B61E" w:rsidR="00B77FC3" w:rsidRDefault="00B77FC3" w:rsidP="000530E0">
      <w:pPr>
        <w:ind w:left="90"/>
      </w:pPr>
      <w:r w:rsidRPr="000530E0">
        <w:rPr>
          <w:sz w:val="25"/>
          <w:szCs w:val="25"/>
          <w:lang w:bidi="es-ES"/>
        </w:rPr>
        <w:t>(II) que no estén empleadas por ninguna agencia estatal o centro para la vida independiente.</w:t>
      </w:r>
      <w:r>
        <w:rPr>
          <w:lang w:bidi="es-ES"/>
        </w:rPr>
        <w:br w:type="page"/>
      </w:r>
    </w:p>
    <w:p w14:paraId="49747863" w14:textId="77777777" w:rsidR="00B77FC3" w:rsidRPr="000530E0" w:rsidRDefault="00B77FC3" w:rsidP="000530E0">
      <w:pPr>
        <w:pStyle w:val="Heading1"/>
      </w:pPr>
      <w:r w:rsidRPr="000530E0">
        <w:lastRenderedPageBreak/>
        <w:t>MIEMBROS CON DERECHO A VOTO</w:t>
      </w:r>
    </w:p>
    <w:p w14:paraId="143B3F7D" w14:textId="77777777" w:rsidR="00B77FC3" w:rsidRPr="00FF1237" w:rsidRDefault="00B77FC3" w:rsidP="00B77FC3">
      <w:r w:rsidRPr="00FF1237">
        <w:rPr>
          <w:lang w:bidi="es-ES"/>
        </w:rPr>
        <w:t>(B) MIEMBROS CON DERECHO A VOTO</w:t>
      </w:r>
      <w:r w:rsidRPr="00FF1237">
        <w:rPr>
          <w:rFonts w:hint="eastAsia"/>
          <w:lang w:bidi="es-ES"/>
        </w:rPr>
        <w:t>:</w:t>
      </w:r>
      <w:r w:rsidRPr="00FF1237">
        <w:rPr>
          <w:lang w:bidi="es-ES"/>
        </w:rPr>
        <w:t xml:space="preserve"> la mayoría de los miembros con derecho a voto del Consejo </w:t>
      </w:r>
      <w:r w:rsidRPr="00FF1237">
        <w:rPr>
          <w:b/>
          <w:lang w:bidi="es-ES"/>
        </w:rPr>
        <w:t>deberán</w:t>
      </w:r>
      <w:r w:rsidRPr="00FF1237">
        <w:rPr>
          <w:lang w:bidi="es-ES"/>
        </w:rPr>
        <w:t xml:space="preserve"> ser</w:t>
      </w:r>
      <w:r w:rsidRPr="00FF1237">
        <w:rPr>
          <w:rFonts w:hint="eastAsia"/>
          <w:lang w:bidi="es-ES"/>
        </w:rPr>
        <w:t>:</w:t>
      </w:r>
    </w:p>
    <w:p w14:paraId="3FFF69DD" w14:textId="77777777" w:rsidR="00B77FC3" w:rsidRPr="00485ED3" w:rsidRDefault="00B77FC3" w:rsidP="00485ED3">
      <w:pPr>
        <w:ind w:left="360"/>
        <w:rPr>
          <w:sz w:val="25"/>
          <w:szCs w:val="25"/>
        </w:rPr>
      </w:pPr>
      <w:r w:rsidRPr="00485ED3">
        <w:rPr>
          <w:sz w:val="25"/>
          <w:szCs w:val="25"/>
          <w:lang w:bidi="es-ES"/>
        </w:rPr>
        <w:t>(i) personas con discapacidades descritas en la sección 7(20)(B); y</w:t>
      </w:r>
    </w:p>
    <w:p w14:paraId="448D19C1" w14:textId="77777777" w:rsidR="00B77FC3" w:rsidRPr="00485ED3" w:rsidRDefault="00B77FC3" w:rsidP="00485ED3">
      <w:pPr>
        <w:ind w:left="360"/>
        <w:rPr>
          <w:sz w:val="25"/>
          <w:szCs w:val="25"/>
        </w:rPr>
      </w:pPr>
      <w:r w:rsidRPr="00485ED3">
        <w:rPr>
          <w:sz w:val="25"/>
          <w:szCs w:val="25"/>
          <w:lang w:bidi="es-ES"/>
        </w:rPr>
        <w:t>(ii) que no estén empleadas por ninguna agencia estatal o centro para la vida independiente.</w:t>
      </w:r>
    </w:p>
    <w:p w14:paraId="7421CC1D" w14:textId="77777777" w:rsidR="00B77FC3" w:rsidRPr="00D17982" w:rsidRDefault="00B77FC3" w:rsidP="00B77FC3">
      <w:r w:rsidRPr="47093652">
        <w:rPr>
          <w:lang w:bidi="es-ES"/>
        </w:rPr>
        <w:br w:type="page"/>
      </w:r>
    </w:p>
    <w:p w14:paraId="04317EFF" w14:textId="77777777" w:rsidR="00485ED3" w:rsidRPr="00485ED3" w:rsidRDefault="00485ED3" w:rsidP="000530E0">
      <w:pPr>
        <w:pStyle w:val="Heading1"/>
      </w:pPr>
      <w:r w:rsidRPr="00485ED3">
        <w:lastRenderedPageBreak/>
        <w:t>DURACIÓN DEL MANDATO</w:t>
      </w:r>
    </w:p>
    <w:p w14:paraId="79E1BC06" w14:textId="77777777" w:rsidR="00485ED3" w:rsidRPr="00C003BF" w:rsidRDefault="00485ED3" w:rsidP="00485ED3">
      <w:r w:rsidRPr="00C003BF">
        <w:rPr>
          <w:lang w:bidi="es-ES"/>
        </w:rPr>
        <w:t>(A) DURACIÓN DEL MANDATO</w:t>
      </w:r>
      <w:r w:rsidRPr="00C003BF">
        <w:rPr>
          <w:rFonts w:hint="eastAsia"/>
          <w:lang w:bidi="es-ES"/>
        </w:rPr>
        <w:t>:</w:t>
      </w:r>
      <w:r w:rsidRPr="00C003BF">
        <w:rPr>
          <w:lang w:bidi="es-ES"/>
        </w:rPr>
        <w:t xml:space="preserve"> cada miembro del Consejo </w:t>
      </w:r>
      <w:r w:rsidRPr="00C003BF">
        <w:rPr>
          <w:b/>
          <w:lang w:bidi="es-ES"/>
        </w:rPr>
        <w:t>deberá</w:t>
      </w:r>
      <w:r w:rsidRPr="00C003BF">
        <w:rPr>
          <w:lang w:bidi="es-ES"/>
        </w:rPr>
        <w:t xml:space="preserve"> desempeñar su cargo por un período de 3 años, excepto que</w:t>
      </w:r>
      <w:r w:rsidRPr="00C003BF">
        <w:rPr>
          <w:rFonts w:hint="eastAsia"/>
          <w:lang w:bidi="es-ES"/>
        </w:rPr>
        <w:t>:</w:t>
      </w:r>
    </w:p>
    <w:p w14:paraId="63F725A4" w14:textId="77777777" w:rsidR="00485ED3" w:rsidRPr="00485ED3" w:rsidRDefault="00485ED3" w:rsidP="00485ED3">
      <w:pPr>
        <w:ind w:left="360"/>
        <w:rPr>
          <w:sz w:val="25"/>
          <w:szCs w:val="25"/>
        </w:rPr>
      </w:pPr>
      <w:r w:rsidRPr="00485ED3">
        <w:rPr>
          <w:sz w:val="25"/>
          <w:szCs w:val="25"/>
          <w:lang w:bidi="es-ES"/>
        </w:rPr>
        <w:t xml:space="preserve">(i) un miembro designado para cubrir una vacante que ocurra antes de la expiración del mandato para el cual fue designado un predecesor, </w:t>
      </w:r>
      <w:r w:rsidRPr="00485ED3">
        <w:rPr>
          <w:b/>
          <w:sz w:val="25"/>
          <w:szCs w:val="25"/>
          <w:lang w:bidi="es-ES"/>
        </w:rPr>
        <w:t>deberá</w:t>
      </w:r>
      <w:r w:rsidRPr="00485ED3">
        <w:rPr>
          <w:sz w:val="25"/>
          <w:szCs w:val="25"/>
          <w:lang w:bidi="es-ES"/>
        </w:rPr>
        <w:t xml:space="preserve"> ser designado por el resto de dicho mandato; y</w:t>
      </w:r>
    </w:p>
    <w:p w14:paraId="66C7E3AD" w14:textId="4751A27B" w:rsidR="004A3578" w:rsidRPr="000530E0" w:rsidRDefault="00485ED3" w:rsidP="000530E0">
      <w:pPr>
        <w:ind w:left="360"/>
        <w:rPr>
          <w:sz w:val="25"/>
          <w:szCs w:val="25"/>
        </w:rPr>
      </w:pPr>
      <w:r w:rsidRPr="00485ED3">
        <w:rPr>
          <w:sz w:val="25"/>
          <w:szCs w:val="25"/>
          <w:lang w:bidi="es-ES"/>
        </w:rPr>
        <w:t xml:space="preserve">(ii) los mandatos de los miembros designados inicialmente </w:t>
      </w:r>
      <w:r w:rsidRPr="00485ED3">
        <w:rPr>
          <w:b/>
          <w:sz w:val="25"/>
          <w:szCs w:val="25"/>
          <w:lang w:bidi="es-ES"/>
        </w:rPr>
        <w:t>deberán</w:t>
      </w:r>
      <w:r w:rsidRPr="00485ED3">
        <w:rPr>
          <w:sz w:val="25"/>
          <w:szCs w:val="25"/>
          <w:lang w:bidi="es-ES"/>
        </w:rPr>
        <w:t xml:space="preserve"> ser (según lo especifique la autoridad de designación descrita en el párrafo (3)) por un número menor de años que permita que los mandatos terminen de manera escalonada.</w:t>
      </w:r>
    </w:p>
    <w:p w14:paraId="05AEB8DE" w14:textId="26E936EE" w:rsidR="00485ED3" w:rsidRPr="00485ED3" w:rsidRDefault="00485ED3" w:rsidP="003F5FAB">
      <w:pPr>
        <w:pStyle w:val="Heading1"/>
      </w:pPr>
      <w:r w:rsidRPr="004A3578">
        <w:br w:type="page"/>
      </w:r>
      <w:r w:rsidRPr="00485ED3">
        <w:lastRenderedPageBreak/>
        <w:t xml:space="preserve">NÚMERO DE MANDATOS </w:t>
      </w:r>
    </w:p>
    <w:p w14:paraId="1AF6DDFD" w14:textId="77777777" w:rsidR="00485ED3" w:rsidRDefault="00485ED3" w:rsidP="00485ED3">
      <w:r w:rsidRPr="006E52D0">
        <w:rPr>
          <w:lang w:bidi="es-ES"/>
        </w:rPr>
        <w:t>(B) NÚMERO DE MANDATOS</w:t>
      </w:r>
      <w:r w:rsidRPr="006E52D0">
        <w:rPr>
          <w:rFonts w:hint="eastAsia"/>
          <w:lang w:bidi="es-ES"/>
        </w:rPr>
        <w:t xml:space="preserve">: </w:t>
      </w:r>
      <w:r w:rsidRPr="006E52D0">
        <w:rPr>
          <w:lang w:bidi="es-ES"/>
        </w:rPr>
        <w:t>ningún miembro del Consejo, aparte de un representante descrito en el párrafo (2)(A) si solo hay un centro para la vida independiente dentro del Estado, podrá desempeñar más de dos mandatos completos consecutivos.</w:t>
      </w:r>
    </w:p>
    <w:p w14:paraId="04AB23D6" w14:textId="77777777" w:rsidR="00AA4678" w:rsidRDefault="00AA4678" w:rsidP="000530E0">
      <w:pPr>
        <w:pStyle w:val="Heading1"/>
      </w:pPr>
    </w:p>
    <w:p w14:paraId="2C22DE0D" w14:textId="77777777" w:rsidR="00FD3AFE" w:rsidRDefault="00FD3AFE">
      <w:pPr>
        <w:ind w:left="0"/>
      </w:pPr>
      <w:r>
        <w:rPr>
          <w:lang w:bidi="es-ES"/>
        </w:rPr>
        <w:br w:type="page"/>
      </w:r>
    </w:p>
    <w:p w14:paraId="4572CFEC" w14:textId="50CEE48D" w:rsidR="00A816D3" w:rsidRPr="00FD3AFE" w:rsidRDefault="00AA4678" w:rsidP="000530E0">
      <w:pPr>
        <w:pStyle w:val="Heading1"/>
      </w:pPr>
      <w:r>
        <w:lastRenderedPageBreak/>
        <w:t>RE-DESIGNACIÓN</w:t>
      </w:r>
    </w:p>
    <w:p w14:paraId="7FF6AF35" w14:textId="745BF411" w:rsidR="00331B94" w:rsidRPr="00E26202" w:rsidRDefault="00A816D3" w:rsidP="00E26202">
      <w:pPr>
        <w:rPr>
          <w:rStyle w:val="Heading1Char"/>
          <w:rFonts w:eastAsiaTheme="minorEastAsia" w:cstheme="minorBidi"/>
          <w:b w:val="0"/>
          <w:bCs w:val="0"/>
          <w:color w:val="auto"/>
          <w:sz w:val="26"/>
          <w:szCs w:val="26"/>
        </w:rPr>
      </w:pPr>
      <w:r w:rsidRPr="00A816D3">
        <w:rPr>
          <w:lang w:bidi="es-ES"/>
        </w:rPr>
        <w:t>La Ley no especifica cuánto tiempo debe permanecer un miembro del SILC fuera del consejo después de que expire su mandato antes de que pueda ser re-designado. Sin embargo, a menudo, el SILC puede estar sujeto a reglas estatales o a sus propios estatutos que especifican tal período de tiempo.</w:t>
      </w:r>
    </w:p>
    <w:p w14:paraId="16FA383F" w14:textId="3AEE1BB0" w:rsidR="00FD3AFE" w:rsidRPr="004A3578" w:rsidRDefault="00485ED3">
      <w:pPr>
        <w:ind w:left="0"/>
        <w:rPr>
          <w:rFonts w:eastAsiaTheme="majorEastAsia" w:cstheme="majorBidi"/>
          <w:b/>
          <w:bCs/>
          <w:color w:val="70003E"/>
          <w:sz w:val="32"/>
          <w:szCs w:val="32"/>
        </w:rPr>
      </w:pPr>
      <w:r>
        <w:rPr>
          <w:lang w:bidi="es-ES"/>
        </w:rPr>
        <w:br w:type="page"/>
      </w:r>
    </w:p>
    <w:p w14:paraId="184C8A27" w14:textId="4A1C852B" w:rsidR="00FD3AFE" w:rsidRPr="00306627" w:rsidRDefault="00FD3AFE" w:rsidP="000530E0">
      <w:pPr>
        <w:pStyle w:val="Style1"/>
      </w:pPr>
      <w:r>
        <w:lastRenderedPageBreak/>
        <w:t>Otras Consideraciones</w:t>
      </w:r>
    </w:p>
    <w:p w14:paraId="4B5CB5A9" w14:textId="432D9292" w:rsidR="00FD3AFE" w:rsidRDefault="00E26202" w:rsidP="00FD3AFE">
      <w:pPr>
        <w:pStyle w:val="BulletedList"/>
        <w:rPr>
          <w:rStyle w:val="Heading1Char"/>
          <w:rFonts w:eastAsia="Aptos" w:cs="Aptos"/>
          <w:b w:val="0"/>
          <w:bCs w:val="0"/>
          <w:color w:val="auto"/>
          <w:sz w:val="26"/>
          <w:szCs w:val="26"/>
        </w:rPr>
      </w:pPr>
      <w:r>
        <w:rPr>
          <w:b/>
          <w:i/>
          <w:noProof/>
          <w:lang w:bidi="es-ES"/>
        </w:rPr>
        <w:drawing>
          <wp:anchor distT="0" distB="0" distL="114300" distR="114300" simplePos="0" relativeHeight="251670528" behindDoc="0" locked="0" layoutInCell="1" allowOverlap="1" wp14:anchorId="4FD9571B" wp14:editId="14FEDBD4">
            <wp:simplePos x="0" y="0"/>
            <wp:positionH relativeFrom="column">
              <wp:posOffset>2247069</wp:posOffset>
            </wp:positionH>
            <wp:positionV relativeFrom="paragraph">
              <wp:posOffset>206423</wp:posOffset>
            </wp:positionV>
            <wp:extent cx="1453662" cy="1453662"/>
            <wp:effectExtent l="0" t="0" r="0" b="0"/>
            <wp:wrapSquare wrapText="bothSides"/>
            <wp:docPr id="1252666369" name="Graphic 2" descr="Ícono de una persona mirándose en un espejo, que representa la reflexión sobre el reclutamiento de miembros del consejo, los límites de mandato y las estrategias de particip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66369" name="Graphic 2" descr="Ícono de una persona mirándose en un espejo, que representa la reflexión sobre el reclutamiento de miembros del consejo, los límites de mandato y las estrategias de participación."/>
                    <pic:cNvPicPr/>
                  </pic:nvPicPr>
                  <pic:blipFill>
                    <a:blip r:embed="rId16">
                      <a:extLst>
                        <a:ext uri="{96DAC541-7B7A-43D3-8B79-37D633B846F1}">
                          <asvg:svgBlip xmlns:asvg="http://schemas.microsoft.com/office/drawing/2016/SVG/main" r:embed="rId17"/>
                        </a:ext>
                      </a:extLst>
                    </a:blip>
                    <a:stretch>
                      <a:fillRect/>
                    </a:stretch>
                  </pic:blipFill>
                  <pic:spPr>
                    <a:xfrm>
                      <a:off x="0" y="0"/>
                      <a:ext cx="1453662" cy="1453662"/>
                    </a:xfrm>
                    <a:prstGeom prst="rect">
                      <a:avLst/>
                    </a:prstGeom>
                  </pic:spPr>
                </pic:pic>
              </a:graphicData>
            </a:graphic>
            <wp14:sizeRelH relativeFrom="page">
              <wp14:pctWidth>0</wp14:pctWidth>
            </wp14:sizeRelH>
            <wp14:sizeRelV relativeFrom="page">
              <wp14:pctHeight>0</wp14:pctHeight>
            </wp14:sizeRelV>
          </wp:anchor>
        </w:drawing>
      </w:r>
      <w:r w:rsidR="00FD3AFE">
        <w:rPr>
          <w:rStyle w:val="Heading1Char"/>
          <w:rFonts w:eastAsia="Aptos" w:cs="Aptos"/>
          <w:b w:val="0"/>
          <w:color w:val="auto"/>
          <w:sz w:val="26"/>
          <w:szCs w:val="26"/>
        </w:rPr>
        <w:t>Número de miembros del consejo</w:t>
      </w:r>
    </w:p>
    <w:p w14:paraId="3EB1F6C7" w14:textId="03B569C1" w:rsidR="00FD3AFE" w:rsidRPr="00C22124" w:rsidRDefault="00FD3AFE" w:rsidP="00FD3AFE">
      <w:pPr>
        <w:pStyle w:val="BulletedList"/>
        <w:rPr>
          <w:rStyle w:val="Heading1Char"/>
          <w:rFonts w:eastAsia="Aptos" w:cs="Aptos"/>
          <w:b w:val="0"/>
          <w:bCs w:val="0"/>
          <w:color w:val="auto"/>
          <w:sz w:val="26"/>
          <w:szCs w:val="26"/>
        </w:rPr>
      </w:pPr>
      <w:r>
        <w:rPr>
          <w:rStyle w:val="Heading1Char"/>
          <w:rFonts w:eastAsia="Aptos" w:cs="Aptos"/>
          <w:b w:val="0"/>
          <w:color w:val="auto"/>
          <w:sz w:val="26"/>
          <w:szCs w:val="26"/>
        </w:rPr>
        <w:t xml:space="preserve">Los límites de mandato se aplican a </w:t>
      </w:r>
      <w:r w:rsidRPr="00485ED3">
        <w:rPr>
          <w:rStyle w:val="Heading1Char"/>
          <w:rFonts w:eastAsia="Aptos" w:cs="Aptos"/>
          <w:color w:val="auto"/>
          <w:sz w:val="26"/>
          <w:szCs w:val="26"/>
        </w:rPr>
        <w:t>TODOS</w:t>
      </w:r>
      <w:r>
        <w:rPr>
          <w:rStyle w:val="Heading1Char"/>
          <w:rFonts w:eastAsia="Aptos" w:cs="Aptos"/>
          <w:b w:val="0"/>
          <w:color w:val="auto"/>
          <w:sz w:val="26"/>
          <w:szCs w:val="26"/>
        </w:rPr>
        <w:t xml:space="preserve"> los miembros*</w:t>
      </w:r>
    </w:p>
    <w:p w14:paraId="30C1AD92" w14:textId="1D1FDDB6" w:rsidR="00E26202" w:rsidRDefault="00FD3AFE" w:rsidP="00FD3AFE">
      <w:pPr>
        <w:pStyle w:val="BulletedList"/>
        <w:rPr>
          <w:rStyle w:val="Heading1Char"/>
          <w:rFonts w:eastAsia="Aptos" w:cs="Aptos"/>
          <w:b w:val="0"/>
          <w:bCs w:val="0"/>
          <w:color w:val="auto"/>
          <w:sz w:val="26"/>
          <w:szCs w:val="26"/>
        </w:rPr>
      </w:pPr>
      <w:r>
        <w:rPr>
          <w:rStyle w:val="Heading1Char"/>
          <w:rFonts w:eastAsia="Aptos" w:cs="Aptos"/>
          <w:b w:val="0"/>
          <w:color w:val="auto"/>
          <w:sz w:val="26"/>
          <w:szCs w:val="26"/>
        </w:rPr>
        <w:t>Estrategias de reclutamiento y compromiso</w:t>
      </w:r>
    </w:p>
    <w:p w14:paraId="4C54F6BA" w14:textId="1EAD8963" w:rsidR="00FD3AFE" w:rsidRDefault="00FD3AFE" w:rsidP="00E26202">
      <w:pPr>
        <w:pStyle w:val="BulletedList"/>
        <w:numPr>
          <w:ilvl w:val="0"/>
          <w:numId w:val="0"/>
        </w:numPr>
        <w:ind w:left="720"/>
        <w:rPr>
          <w:rStyle w:val="Heading1Char"/>
          <w:rFonts w:eastAsia="Aptos" w:cs="Aptos"/>
          <w:b w:val="0"/>
          <w:bCs w:val="0"/>
          <w:color w:val="auto"/>
          <w:sz w:val="26"/>
          <w:szCs w:val="26"/>
        </w:rPr>
      </w:pPr>
    </w:p>
    <w:p w14:paraId="2CE8AB7C" w14:textId="4ABFB5F3" w:rsidR="00E26202" w:rsidRDefault="00E26202">
      <w:pPr>
        <w:ind w:left="0"/>
      </w:pPr>
      <w:r>
        <w:rPr>
          <w:lang w:bidi="es-ES"/>
        </w:rPr>
        <w:br w:type="page"/>
      </w:r>
    </w:p>
    <w:p w14:paraId="2A487932" w14:textId="114D9868" w:rsidR="00485ED3" w:rsidRPr="003F5FAB" w:rsidRDefault="00E26202" w:rsidP="00C22124">
      <w:pPr>
        <w:rPr>
          <w:rFonts w:eastAsiaTheme="majorEastAsia" w:cstheme="majorBidi"/>
          <w:b/>
          <w:bCs/>
          <w:color w:val="70003E"/>
          <w:sz w:val="31"/>
          <w:szCs w:val="31"/>
        </w:rPr>
      </w:pPr>
      <w:r w:rsidRPr="003F5FAB">
        <w:rPr>
          <w:rFonts w:eastAsiaTheme="majorEastAsia" w:cstheme="majorBidi"/>
          <w:b/>
          <w:color w:val="70003E"/>
          <w:sz w:val="31"/>
          <w:szCs w:val="31"/>
          <w:lang w:bidi="es-ES"/>
        </w:rPr>
        <w:lastRenderedPageBreak/>
        <w:t>Recursos para orientación adicional</w:t>
      </w:r>
    </w:p>
    <w:p w14:paraId="63A01B4D" w14:textId="0585724D" w:rsidR="00827F4E" w:rsidRPr="003F5FAB" w:rsidRDefault="00827F4E" w:rsidP="00827F4E">
      <w:pPr>
        <w:pStyle w:val="BulletedList"/>
        <w:ind w:left="360"/>
        <w:rPr>
          <w:sz w:val="25"/>
          <w:szCs w:val="25"/>
        </w:rPr>
      </w:pPr>
      <w:hyperlink r:id="rId18" w:history="1">
        <w:r w:rsidRPr="003F5FAB">
          <w:rPr>
            <w:rStyle w:val="Hyperlink"/>
            <w:sz w:val="25"/>
            <w:szCs w:val="25"/>
            <w:lang w:bidi="es-ES"/>
          </w:rPr>
          <w:t>Indicadores y Garantías del SILC para las Entidades Estatales Designadas</w:t>
        </w:r>
      </w:hyperlink>
      <w:r w:rsidRPr="003F5FAB">
        <w:rPr>
          <w:sz w:val="25"/>
          <w:szCs w:val="25"/>
          <w:lang w:bidi="es-ES"/>
        </w:rPr>
        <w:t xml:space="preserve"> (ILT&amp;TA) </w:t>
      </w:r>
    </w:p>
    <w:p w14:paraId="119B2910" w14:textId="77493D29" w:rsidR="00827F4E" w:rsidRPr="003F5FAB" w:rsidRDefault="00827F4E" w:rsidP="00827F4E">
      <w:pPr>
        <w:pStyle w:val="BulletedList"/>
        <w:ind w:left="360"/>
        <w:rPr>
          <w:sz w:val="25"/>
          <w:szCs w:val="25"/>
        </w:rPr>
      </w:pPr>
      <w:hyperlink r:id="rId19" w:history="1">
        <w:r w:rsidRPr="003F5FAB">
          <w:rPr>
            <w:rStyle w:val="Hyperlink"/>
            <w:sz w:val="25"/>
            <w:szCs w:val="25"/>
            <w:lang w:bidi="es-ES"/>
          </w:rPr>
          <w:t>Guía para presidentes, miembros y administradores de los SILC</w:t>
        </w:r>
      </w:hyperlink>
      <w:r w:rsidRPr="003F5FAB">
        <w:rPr>
          <w:sz w:val="25"/>
          <w:szCs w:val="25"/>
          <w:lang w:bidi="es-ES"/>
        </w:rPr>
        <w:t xml:space="preserve"> (ILRU)</w:t>
      </w:r>
    </w:p>
    <w:p w14:paraId="61BFAEA0" w14:textId="022A5394" w:rsidR="00827F4E" w:rsidRPr="003F5FAB" w:rsidRDefault="003555AD" w:rsidP="00827F4E">
      <w:pPr>
        <w:pStyle w:val="BulletedList"/>
        <w:ind w:left="360"/>
        <w:rPr>
          <w:sz w:val="25"/>
          <w:szCs w:val="25"/>
        </w:rPr>
      </w:pPr>
      <w:hyperlink r:id="rId20" w:anchor="silcresources" w:history="1">
        <w:r w:rsidRPr="003F5FAB">
          <w:rPr>
            <w:rStyle w:val="Hyperlink"/>
            <w:sz w:val="25"/>
            <w:szCs w:val="25"/>
            <w:lang w:bidi="es-ES"/>
          </w:rPr>
          <w:t>Publicaciones y Recursos para Consejos de Vida Independiente Estatales</w:t>
        </w:r>
      </w:hyperlink>
      <w:r w:rsidRPr="003F5FAB">
        <w:rPr>
          <w:sz w:val="25"/>
          <w:szCs w:val="25"/>
          <w:lang w:bidi="es-ES"/>
        </w:rPr>
        <w:t xml:space="preserve"> (ILT&amp;TA)</w:t>
      </w:r>
    </w:p>
    <w:p w14:paraId="61E2090E" w14:textId="059B4DD4" w:rsidR="003555AD" w:rsidRPr="003F5FAB" w:rsidRDefault="003555AD" w:rsidP="00827F4E">
      <w:pPr>
        <w:pStyle w:val="BulletedList"/>
        <w:ind w:left="360"/>
        <w:rPr>
          <w:sz w:val="25"/>
          <w:szCs w:val="25"/>
        </w:rPr>
      </w:pPr>
      <w:r w:rsidRPr="003F5FAB">
        <w:rPr>
          <w:rFonts w:eastAsiaTheme="majorEastAsia" w:cstheme="majorBidi"/>
          <w:b/>
          <w:noProof/>
          <w:color w:val="70003E"/>
          <w:sz w:val="25"/>
          <w:szCs w:val="25"/>
          <w:lang w:bidi="es-ES"/>
        </w:rPr>
        <w:drawing>
          <wp:anchor distT="0" distB="0" distL="114300" distR="114300" simplePos="0" relativeHeight="251672576" behindDoc="0" locked="0" layoutInCell="1" allowOverlap="1" wp14:anchorId="7C8737CF" wp14:editId="5697EC51">
            <wp:simplePos x="0" y="0"/>
            <wp:positionH relativeFrom="column">
              <wp:posOffset>949325</wp:posOffset>
            </wp:positionH>
            <wp:positionV relativeFrom="paragraph">
              <wp:posOffset>559435</wp:posOffset>
            </wp:positionV>
            <wp:extent cx="1539240" cy="1539240"/>
            <wp:effectExtent l="0" t="0" r="0" b="0"/>
            <wp:wrapSquare wrapText="bothSides"/>
            <wp:docPr id="428199751" name="Graphic 4" descr="Ícono que representa una red de personas, simbolizando recursos y orientación adi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99751" name="Graphic 4" descr="Ícono que representa una red de personas, simbolizando recursos y orientación adicional."/>
                    <pic:cNvPicPr/>
                  </pic:nvPicPr>
                  <pic:blipFill>
                    <a:blip r:embed="rId21">
                      <a:extLst>
                        <a:ext uri="{96DAC541-7B7A-43D3-8B79-37D633B846F1}">
                          <asvg:svgBlip xmlns:asvg="http://schemas.microsoft.com/office/drawing/2016/SVG/main" r:embed="rId22"/>
                        </a:ext>
                      </a:extLst>
                    </a:blip>
                    <a:stretch>
                      <a:fillRect/>
                    </a:stretch>
                  </pic:blipFill>
                  <pic:spPr>
                    <a:xfrm>
                      <a:off x="0" y="0"/>
                      <a:ext cx="1539240" cy="1539240"/>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Pr="003F5FAB">
          <w:rPr>
            <w:rStyle w:val="Hyperlink"/>
            <w:sz w:val="25"/>
            <w:szCs w:val="25"/>
            <w:lang w:bidi="es-ES"/>
          </w:rPr>
          <w:t>Videos sobre funcionamiento de SILC</w:t>
        </w:r>
      </w:hyperlink>
      <w:r w:rsidRPr="003F5FAB">
        <w:rPr>
          <w:sz w:val="25"/>
          <w:szCs w:val="25"/>
          <w:lang w:bidi="es-ES"/>
        </w:rPr>
        <w:t xml:space="preserve"> (archivo de IL-NET)</w:t>
      </w:r>
    </w:p>
    <w:p w14:paraId="44B218DB" w14:textId="5355389F" w:rsidR="00827F4E" w:rsidRDefault="00827F4E" w:rsidP="00C22124">
      <w:pPr>
        <w:rPr>
          <w:rFonts w:eastAsiaTheme="majorEastAsia" w:cstheme="majorBidi"/>
          <w:b/>
          <w:bCs/>
          <w:color w:val="70003E"/>
          <w:sz w:val="32"/>
          <w:szCs w:val="32"/>
        </w:rPr>
      </w:pPr>
    </w:p>
    <w:p w14:paraId="1FC0C855" w14:textId="77777777" w:rsidR="00E26202" w:rsidRDefault="00E26202" w:rsidP="00C22124">
      <w:pPr>
        <w:rPr>
          <w:rFonts w:eastAsiaTheme="majorEastAsia" w:cstheme="majorBidi"/>
          <w:b/>
          <w:bCs/>
          <w:color w:val="70003E"/>
          <w:sz w:val="32"/>
          <w:szCs w:val="32"/>
        </w:rPr>
      </w:pPr>
    </w:p>
    <w:p w14:paraId="13438D04" w14:textId="77777777" w:rsidR="00827F4E" w:rsidRDefault="00827F4E">
      <w:pPr>
        <w:ind w:left="0"/>
        <w:rPr>
          <w:rFonts w:eastAsiaTheme="majorEastAsia" w:cstheme="majorBidi"/>
          <w:b/>
          <w:bCs/>
          <w:color w:val="70003E"/>
          <w:sz w:val="32"/>
          <w:szCs w:val="32"/>
        </w:rPr>
      </w:pPr>
      <w:r>
        <w:rPr>
          <w:lang w:bidi="es-ES"/>
        </w:rPr>
        <w:br w:type="page"/>
      </w:r>
    </w:p>
    <w:p w14:paraId="47A1E140" w14:textId="7F705396" w:rsidR="00331B94" w:rsidRPr="005B0883" w:rsidRDefault="00331B94" w:rsidP="000530E0">
      <w:pPr>
        <w:pStyle w:val="Heading1"/>
      </w:pPr>
      <w:r w:rsidRPr="005B0883">
        <w:lastRenderedPageBreak/>
        <w:t>Su experiencia importa</w:t>
      </w:r>
    </w:p>
    <w:p w14:paraId="284B1D62" w14:textId="77777777" w:rsidR="00331B94" w:rsidRPr="005B0883" w:rsidRDefault="00331B94" w:rsidP="00331B94">
      <w:pPr>
        <w:rPr>
          <w:sz w:val="24"/>
          <w:szCs w:val="24"/>
        </w:rPr>
      </w:pPr>
      <w:r w:rsidRPr="005B0883">
        <w:rPr>
          <w:sz w:val="24"/>
          <w:szCs w:val="24"/>
          <w:lang w:bidi="es-ES"/>
        </w:rPr>
        <w:t>La grabación se ha detenido: ahora es el momento de compartir.</w:t>
      </w:r>
    </w:p>
    <w:p w14:paraId="64B2F6DD" w14:textId="77777777" w:rsidR="00331B94" w:rsidRPr="005B0883" w:rsidRDefault="00331B94" w:rsidP="00331B94">
      <w:pPr>
        <w:rPr>
          <w:b/>
          <w:bCs/>
          <w:i/>
          <w:iCs/>
        </w:rPr>
      </w:pPr>
      <w:r w:rsidRPr="005B0883">
        <w:rPr>
          <w:b/>
          <w:i/>
          <w:lang w:bidi="es-ES"/>
        </w:rPr>
        <w:t>Formas de participar:</w:t>
      </w:r>
    </w:p>
    <w:p w14:paraId="40B57A51" w14:textId="77777777" w:rsidR="00331B94" w:rsidRPr="008818C8" w:rsidRDefault="00331B94" w:rsidP="008818C8">
      <w:pPr>
        <w:pStyle w:val="BulletedList"/>
        <w:ind w:left="540"/>
        <w:rPr>
          <w:rFonts w:eastAsia="Aptos" w:cs="Aptos"/>
          <w:sz w:val="24"/>
          <w:szCs w:val="24"/>
        </w:rPr>
      </w:pPr>
      <w:r w:rsidRPr="008818C8">
        <w:rPr>
          <w:sz w:val="24"/>
          <w:szCs w:val="24"/>
          <w:lang w:bidi="es-ES"/>
        </w:rPr>
        <w:t>Levante la mano para que se le dé la palabra</w:t>
      </w:r>
    </w:p>
    <w:p w14:paraId="0D223CD6" w14:textId="77777777" w:rsidR="00331B94" w:rsidRPr="008818C8" w:rsidRDefault="00331B94" w:rsidP="008818C8">
      <w:pPr>
        <w:pStyle w:val="BulletedList"/>
        <w:ind w:left="540"/>
        <w:rPr>
          <w:rFonts w:eastAsia="Aptos" w:cs="Aptos"/>
          <w:sz w:val="24"/>
          <w:szCs w:val="24"/>
        </w:rPr>
      </w:pPr>
      <w:r w:rsidRPr="008818C8">
        <w:rPr>
          <w:sz w:val="24"/>
          <w:szCs w:val="24"/>
          <w:lang w:bidi="es-ES"/>
        </w:rPr>
        <w:t>Encienda la cámara si se siente cómodo</w:t>
      </w:r>
    </w:p>
    <w:p w14:paraId="633D76F9" w14:textId="77777777" w:rsidR="008818C8" w:rsidRPr="000E461D" w:rsidRDefault="008818C8" w:rsidP="008818C8">
      <w:pPr>
        <w:pStyle w:val="BulletedList"/>
        <w:ind w:left="540"/>
        <w:rPr>
          <w:rFonts w:eastAsia="Aptos" w:cs="Aptos"/>
          <w:sz w:val="24"/>
          <w:szCs w:val="24"/>
        </w:rPr>
      </w:pPr>
      <w:r w:rsidRPr="000E461D">
        <w:rPr>
          <w:sz w:val="24"/>
          <w:szCs w:val="24"/>
          <w:lang w:bidi="es-ES"/>
        </w:rPr>
        <w:t>Utilice el chat para comentarios y recursos; utilice el cuadro de preguntas y respuestas para sus preguntas.</w:t>
      </w:r>
    </w:p>
    <w:p w14:paraId="7A5C3C28" w14:textId="02F09980" w:rsidR="00331B94" w:rsidRPr="008818C8" w:rsidRDefault="00331B94" w:rsidP="008818C8">
      <w:pPr>
        <w:pStyle w:val="BulletedList"/>
        <w:ind w:left="540"/>
        <w:rPr>
          <w:rFonts w:eastAsia="Aptos" w:cs="Aptos"/>
          <w:sz w:val="24"/>
          <w:szCs w:val="24"/>
        </w:rPr>
      </w:pPr>
      <w:r w:rsidRPr="008818C8">
        <w:rPr>
          <w:sz w:val="24"/>
          <w:szCs w:val="24"/>
          <w:lang w:bidi="es-ES"/>
        </w:rPr>
        <w:t>Reaccione, reflexione o aporte sobre lo que otras personas digan</w:t>
      </w:r>
    </w:p>
    <w:p w14:paraId="3F7CD61F" w14:textId="77777777" w:rsidR="00331B94" w:rsidRPr="008818C8" w:rsidRDefault="00331B94" w:rsidP="008818C8">
      <w:pPr>
        <w:pStyle w:val="BulletedList"/>
        <w:ind w:left="540"/>
        <w:rPr>
          <w:rFonts w:eastAsia="Aptos" w:cs="Aptos"/>
          <w:b/>
          <w:bCs/>
          <w:sz w:val="24"/>
          <w:szCs w:val="24"/>
        </w:rPr>
      </w:pPr>
      <w:r w:rsidRPr="008818C8">
        <w:rPr>
          <w:sz w:val="24"/>
          <w:szCs w:val="24"/>
          <w:lang w:bidi="es-ES"/>
        </w:rPr>
        <w:t>Comparta desafíos o éxitos reales de su CIL</w:t>
      </w:r>
    </w:p>
    <w:p w14:paraId="26C8C1DA" w14:textId="0852A21E" w:rsidR="008818C8" w:rsidRDefault="00331B94" w:rsidP="00F956A0">
      <w:pPr>
        <w:pStyle w:val="BulletedList"/>
        <w:numPr>
          <w:ilvl w:val="0"/>
          <w:numId w:val="0"/>
        </w:numPr>
        <w:jc w:val="center"/>
        <w:rPr>
          <w:rStyle w:val="Heading1Char"/>
        </w:rPr>
      </w:pPr>
      <w:r w:rsidRPr="00D40BA5">
        <w:rPr>
          <w:b/>
          <w:i/>
          <w:lang w:bidi="es-ES"/>
        </w:rPr>
        <w:t>Convirtamos ideas en acción: su voz es la parte más valiosa de esta sesión.</w:t>
      </w:r>
      <w:r w:rsidR="008818C8">
        <w:rPr>
          <w:rStyle w:val="Heading1Char"/>
        </w:rPr>
        <w:br w:type="page"/>
      </w:r>
    </w:p>
    <w:p w14:paraId="70601392" w14:textId="4E92FBBE" w:rsidR="0020685A" w:rsidRPr="00ED65E4" w:rsidRDefault="7E5D7A56" w:rsidP="000530E0">
      <w:pPr>
        <w:pStyle w:val="Heading1"/>
      </w:pPr>
      <w:r w:rsidRPr="00331B94">
        <w:lastRenderedPageBreak/>
        <w:t>Evaluación</w:t>
      </w:r>
    </w:p>
    <w:p w14:paraId="586BE4FA" w14:textId="4D6C6621" w:rsidR="7BF69556" w:rsidRPr="00ED65E4" w:rsidRDefault="7E5D7A56" w:rsidP="00230587">
      <w:pPr>
        <w:rPr>
          <w:rFonts w:eastAsia="Aptos" w:cs="Aptos"/>
          <w:color w:val="000000" w:themeColor="text1"/>
        </w:rPr>
      </w:pPr>
      <w:r w:rsidRPr="00ED65E4">
        <w:rPr>
          <w:lang w:bidi="es-ES"/>
        </w:rPr>
        <w:t>Gracias por participar en el SILC Connect de hoy.</w:t>
      </w:r>
    </w:p>
    <w:p w14:paraId="171FB9B1" w14:textId="3D73309D" w:rsidR="0020685A" w:rsidRPr="00ED65E4" w:rsidRDefault="7E5D7A56" w:rsidP="00230587">
      <w:pPr>
        <w:rPr>
          <w:rFonts w:eastAsia="Aptos" w:cs="Aptos"/>
          <w:color w:val="000000" w:themeColor="text1"/>
        </w:rPr>
      </w:pPr>
      <w:r w:rsidRPr="00ED65E4">
        <w:rPr>
          <w:lang w:bidi="es-ES"/>
        </w:rPr>
        <w:t>Sus comentarios son importantes y nos ayudan a planificar futuras capacitaciones.</w:t>
      </w:r>
    </w:p>
    <w:p w14:paraId="313C8562" w14:textId="050B7C81" w:rsidR="0020685A" w:rsidRPr="00ED65E4" w:rsidRDefault="7E5D7A56" w:rsidP="00230587">
      <w:pPr>
        <w:rPr>
          <w:rFonts w:eastAsia="Aptos" w:cs="Aptos"/>
          <w:color w:val="000000" w:themeColor="text1"/>
        </w:rPr>
      </w:pPr>
      <w:r w:rsidRPr="00ED65E4">
        <w:rPr>
          <w:lang w:bidi="es-ES"/>
        </w:rPr>
        <w:t>Utilice el enlace en el chat para compartir sus comentarios.</w:t>
      </w:r>
    </w:p>
    <w:p w14:paraId="16F12E03" w14:textId="2B0C694F" w:rsidR="0020685A" w:rsidRDefault="003F5FAB" w:rsidP="00254A09">
      <w:pPr>
        <w:rPr>
          <w:color w:val="000000" w:themeColor="text1"/>
          <w:lang w:bidi="es-ES"/>
        </w:rPr>
      </w:pPr>
      <w:hyperlink r:id="rId24" w:history="1">
        <w:r w:rsidR="5F272759" w:rsidRPr="003F5FAB">
          <w:rPr>
            <w:rStyle w:val="Hyperlink"/>
            <w:lang w:bidi="es-ES"/>
          </w:rPr>
          <w:t xml:space="preserve">Enlace de </w:t>
        </w:r>
        <w:commentRangeStart w:id="0"/>
        <w:r w:rsidR="5F272759" w:rsidRPr="003F5FAB">
          <w:rPr>
            <w:rStyle w:val="Hyperlink"/>
            <w:lang w:bidi="es-ES"/>
          </w:rPr>
          <w:t>evaluación</w:t>
        </w:r>
        <w:commentRangeEnd w:id="0"/>
        <w:r w:rsidRPr="003F5FAB">
          <w:rPr>
            <w:rStyle w:val="CommentReference"/>
            <w:sz w:val="26"/>
            <w:szCs w:val="26"/>
            <w:lang w:bidi="es-ES"/>
          </w:rPr>
          <w:commentReference w:id="0"/>
        </w:r>
      </w:hyperlink>
      <w:r w:rsidR="5F272759" w:rsidRPr="003F5FAB">
        <w:rPr>
          <w:color w:val="000000" w:themeColor="text1"/>
          <w:lang w:bidi="es-ES"/>
        </w:rPr>
        <w:t xml:space="preserve">: </w:t>
      </w:r>
    </w:p>
    <w:p w14:paraId="621A64A5" w14:textId="74ECC38A" w:rsidR="003F5FAB" w:rsidRPr="00D40BA5" w:rsidRDefault="003F5FAB" w:rsidP="00254A09">
      <w:pPr>
        <w:rPr>
          <w:color w:val="000000" w:themeColor="text1"/>
        </w:rPr>
      </w:pPr>
      <w:r>
        <w:fldChar w:fldCharType="begin"/>
      </w:r>
      <w:r>
        <w:instrText xml:space="preserve"> INCLUDEPICTURE "/Users/bethany.ncil/Library/Group Containers/UBF8T346G9.ms/WebArchiveCopyPasteTempFiles/com.microsoft.Word/large-SILC%20Connection-1.20.26-qrcode.png" \* MERGEFORMATINET </w:instrText>
      </w:r>
      <w:r>
        <w:fldChar w:fldCharType="separate"/>
      </w:r>
      <w:r>
        <w:rPr>
          <w:noProof/>
        </w:rPr>
        <w:drawing>
          <wp:inline distT="0" distB="0" distL="0" distR="0" wp14:anchorId="561C95DF" wp14:editId="204F3DCF">
            <wp:extent cx="1391138" cy="1391138"/>
            <wp:effectExtent l="0" t="0" r="6350" b="6350"/>
            <wp:docPr id="1281674307" name="Picture 1" descr="QR Code: https://umt.co1.qualtrics.com/jfe/form/SV_cZMMK5OjDdHf9j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4307" name="Picture 1" descr="QR Code: https://umt.co1.qualtrics.com/jfe/form/SV_cZMMK5OjDdHf9j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8262" cy="1408262"/>
                    </a:xfrm>
                    <a:prstGeom prst="rect">
                      <a:avLst/>
                    </a:prstGeom>
                    <a:noFill/>
                    <a:ln>
                      <a:noFill/>
                    </a:ln>
                  </pic:spPr>
                </pic:pic>
              </a:graphicData>
            </a:graphic>
          </wp:inline>
        </w:drawing>
      </w:r>
      <w:r>
        <w:fldChar w:fldCharType="end"/>
      </w:r>
    </w:p>
    <w:p w14:paraId="659605C6" w14:textId="55A39A3F" w:rsidR="084D63BB" w:rsidRDefault="084D63BB" w:rsidP="00254A09">
      <w:r w:rsidRPr="00ED65E4">
        <w:rPr>
          <w:lang w:bidi="es-ES"/>
        </w:rPr>
        <w:br w:type="page"/>
      </w:r>
    </w:p>
    <w:p w14:paraId="10E5256C" w14:textId="77777777" w:rsidR="00B77FC3" w:rsidRDefault="00B77FC3" w:rsidP="000530E0">
      <w:pPr>
        <w:pStyle w:val="Heading1"/>
      </w:pPr>
      <w:r w:rsidRPr="3A20E016">
        <w:lastRenderedPageBreak/>
        <w:t xml:space="preserve">¡Próximos eventos en los que puede unirse! </w:t>
      </w:r>
    </w:p>
    <w:p w14:paraId="5017E405" w14:textId="15E58031" w:rsidR="0011665B" w:rsidRPr="0011665B" w:rsidRDefault="0011665B" w:rsidP="00B77FC3">
      <w:pPr>
        <w:pStyle w:val="BulletedList"/>
      </w:pPr>
      <w:hyperlink r:id="rId30" w:anchor="/registration" w:history="1">
        <w:r w:rsidRPr="0011665B">
          <w:rPr>
            <w:rStyle w:val="Hyperlink"/>
            <w:lang w:bidi="es-ES"/>
          </w:rPr>
          <w:t>Aprender y Compartir – Nuevo enfoque: Manual de Políticas y Procedimientos Fiscales</w:t>
        </w:r>
      </w:hyperlink>
      <w:r w:rsidRPr="0011665B">
        <w:rPr>
          <w:lang w:bidi="es-ES"/>
        </w:rPr>
        <w:t>: 28 de enero de 2026, 3 P. M. ET</w:t>
      </w:r>
    </w:p>
    <w:p w14:paraId="7F308E3E" w14:textId="0A658378" w:rsidR="007430CE" w:rsidRPr="0011665B" w:rsidRDefault="007430CE" w:rsidP="00B77FC3">
      <w:pPr>
        <w:pStyle w:val="BulletedList"/>
      </w:pPr>
      <w:hyperlink r:id="rId31" w:anchor="/registration" w:history="1">
        <w:r w:rsidRPr="0011665B">
          <w:rPr>
            <w:rStyle w:val="Hyperlink"/>
            <w:lang w:bidi="es-ES"/>
          </w:rPr>
          <w:t>Pregunte lo que quiera</w:t>
        </w:r>
      </w:hyperlink>
      <w:r w:rsidRPr="0011665B">
        <w:rPr>
          <w:lang w:bidi="es-ES"/>
        </w:rPr>
        <w:t>: 12 de febrero de 2025, 3 P. M. ET</w:t>
      </w:r>
    </w:p>
    <w:p w14:paraId="41D949E5" w14:textId="5E2F1477" w:rsidR="00B77FC3" w:rsidRPr="0011665B" w:rsidRDefault="00B77FC3" w:rsidP="00B77FC3">
      <w:pPr>
        <w:pStyle w:val="BulletedList"/>
      </w:pPr>
      <w:hyperlink r:id="rId32" w:history="1">
        <w:r w:rsidRPr="0011665B">
          <w:rPr>
            <w:rStyle w:val="Hyperlink"/>
            <w:lang w:bidi="es-ES"/>
          </w:rPr>
          <w:t>Conexión SILC: Estrategias Efectivas para Recopilar Opiniones de</w:t>
        </w:r>
        <w:r w:rsidRPr="0011665B">
          <w:rPr>
            <w:rStyle w:val="Hyperlink"/>
            <w:lang w:bidi="es-ES"/>
          </w:rPr>
          <w:t>l</w:t>
        </w:r>
        <w:r w:rsidRPr="0011665B">
          <w:rPr>
            <w:rStyle w:val="Hyperlink"/>
            <w:lang w:bidi="es-ES"/>
          </w:rPr>
          <w:t xml:space="preserve"> Público</w:t>
        </w:r>
      </w:hyperlink>
      <w:r w:rsidRPr="0011665B">
        <w:rPr>
          <w:lang w:bidi="es-ES"/>
        </w:rPr>
        <w:t>: 17 de febrero de 2026, 3 P. M. ET</w:t>
      </w:r>
    </w:p>
    <w:p w14:paraId="64B8641A" w14:textId="77777777" w:rsidR="00B77FC3" w:rsidRPr="00ED65E4" w:rsidRDefault="00B77FC3" w:rsidP="00254A09"/>
    <w:p w14:paraId="63873E5D" w14:textId="77777777" w:rsidR="00485ED3" w:rsidRDefault="00485ED3">
      <w:pPr>
        <w:ind w:left="0"/>
        <w:rPr>
          <w:rFonts w:eastAsiaTheme="majorEastAsia" w:cstheme="majorBidi"/>
          <w:b/>
          <w:bCs/>
          <w:color w:val="70003E"/>
          <w:sz w:val="32"/>
          <w:szCs w:val="32"/>
        </w:rPr>
      </w:pPr>
      <w:r>
        <w:rPr>
          <w:lang w:bidi="es-ES"/>
        </w:rPr>
        <w:br w:type="page"/>
      </w:r>
    </w:p>
    <w:p w14:paraId="16DC1A69" w14:textId="39469321" w:rsidR="00CC5AB9" w:rsidRPr="00AA0837" w:rsidRDefault="00CC5AB9" w:rsidP="000530E0">
      <w:pPr>
        <w:pStyle w:val="Heading1"/>
        <w:rPr>
          <w:rFonts w:eastAsia="Aptos"/>
        </w:rPr>
      </w:pPr>
      <w:r w:rsidRPr="00AA0837">
        <w:lastRenderedPageBreak/>
        <w:t>¡Cómo contactarnos!</w:t>
      </w:r>
    </w:p>
    <w:p w14:paraId="14EDDCC1" w14:textId="2587B897" w:rsidR="00CC5AB9" w:rsidRPr="00AA0837" w:rsidRDefault="00CC5AB9" w:rsidP="00CC5AB9">
      <w:pPr>
        <w:pStyle w:val="Heading2"/>
        <w:rPr>
          <w:rFonts w:ascii="Montserrat" w:eastAsia="Aptos" w:hAnsi="Montserrat"/>
          <w:sz w:val="26"/>
          <w:szCs w:val="26"/>
        </w:rPr>
      </w:pPr>
      <w:r w:rsidRPr="00AA0837">
        <w:rPr>
          <w:rFonts w:ascii="Montserrat" w:eastAsia="Montserrat" w:hAnsi="Montserrat" w:cs="Montserrat"/>
          <w:sz w:val="26"/>
          <w:szCs w:val="26"/>
          <w:lang w:bidi="es-ES"/>
        </w:rPr>
        <w:t xml:space="preserve">Sitio web: </w:t>
      </w:r>
      <w:hyperlink r:id="rId33" w:history="1">
        <w:r w:rsidRPr="00AA0837">
          <w:rPr>
            <w:rStyle w:val="Hyperlink"/>
            <w:rFonts w:ascii="Montserrat" w:eastAsia="Montserrat" w:hAnsi="Montserrat" w:cs="Montserrat"/>
            <w:sz w:val="26"/>
            <w:szCs w:val="26"/>
            <w:lang w:bidi="es-ES"/>
          </w:rPr>
          <w:t>www.ILTTACenter.org</w:t>
        </w:r>
      </w:hyperlink>
      <w:r w:rsidRPr="00AA0837">
        <w:rPr>
          <w:rFonts w:ascii="Montserrat" w:eastAsia="Montserrat" w:hAnsi="Montserrat" w:cs="Montserrat"/>
          <w:sz w:val="26"/>
          <w:szCs w:val="26"/>
          <w:lang w:bidi="es-ES"/>
        </w:rPr>
        <w:t xml:space="preserve"> </w:t>
      </w:r>
    </w:p>
    <w:p w14:paraId="043A8AD8" w14:textId="77777777" w:rsidR="00CC5AB9" w:rsidRPr="00F956A0" w:rsidRDefault="00CC5AB9" w:rsidP="00CC5AB9">
      <w:pPr>
        <w:rPr>
          <w:sz w:val="24"/>
          <w:szCs w:val="24"/>
        </w:rPr>
      </w:pPr>
      <w:r w:rsidRPr="00F956A0">
        <w:rPr>
          <w:b/>
          <w:i/>
          <w:sz w:val="24"/>
          <w:szCs w:val="24"/>
          <w:lang w:bidi="es-ES"/>
        </w:rPr>
        <w:t>Solicite capacitación y/o asistencia técnica (ayuda experta para su organización):</w:t>
      </w:r>
      <w:r w:rsidRPr="00F956A0">
        <w:rPr>
          <w:sz w:val="24"/>
          <w:szCs w:val="24"/>
          <w:lang w:bidi="es-ES"/>
        </w:rPr>
        <w:t xml:space="preserve"> complete un formulario en nuestro sitio web para hacernos saber cómo podemos ayudarlo.</w:t>
      </w:r>
    </w:p>
    <w:p w14:paraId="54ED32D2" w14:textId="77777777" w:rsidR="00CC5AB9" w:rsidRPr="00F956A0" w:rsidRDefault="00CC5AB9" w:rsidP="00CC5AB9">
      <w:pPr>
        <w:rPr>
          <w:sz w:val="24"/>
          <w:szCs w:val="24"/>
        </w:rPr>
      </w:pPr>
      <w:r w:rsidRPr="00F956A0">
        <w:rPr>
          <w:rStyle w:val="Heading2Char"/>
          <w:rFonts w:ascii="Montserrat" w:eastAsia="Montserrat" w:hAnsi="Montserrat" w:cs="Montserrat"/>
          <w:sz w:val="24"/>
          <w:szCs w:val="24"/>
          <w:lang w:bidi="es-ES"/>
        </w:rPr>
        <w:t>Llame al</w:t>
      </w:r>
      <w:r w:rsidRPr="00F956A0">
        <w:rPr>
          <w:b/>
          <w:i/>
          <w:sz w:val="24"/>
          <w:szCs w:val="24"/>
          <w:lang w:bidi="es-ES"/>
        </w:rPr>
        <w:t>:</w:t>
      </w:r>
      <w:r w:rsidRPr="00F956A0">
        <w:rPr>
          <w:sz w:val="24"/>
          <w:szCs w:val="24"/>
          <w:lang w:bidi="es-ES"/>
        </w:rPr>
        <w:t> 406-243-5300 y alguien se comunicará con usted lo antes posible.</w:t>
      </w:r>
    </w:p>
    <w:p w14:paraId="2AC37E87" w14:textId="77777777" w:rsidR="00CC5AB9" w:rsidRPr="00AA0837" w:rsidRDefault="00CC5AB9" w:rsidP="00CC5AB9">
      <w:pPr>
        <w:rPr>
          <w:b/>
          <w:bCs/>
          <w:i/>
          <w:iCs/>
        </w:rPr>
      </w:pPr>
      <w:r w:rsidRPr="00AA0837">
        <w:rPr>
          <w:b/>
          <w:i/>
          <w:lang w:bidi="es-ES"/>
        </w:rPr>
        <w:t>Inscríbase a eventos y para recibir anuncios: </w:t>
      </w:r>
    </w:p>
    <w:p w14:paraId="0DD82C6F" w14:textId="7722089C" w:rsidR="00ED65E4" w:rsidRPr="00D312F7" w:rsidRDefault="00D312F7" w:rsidP="008D3EA7">
      <w:pPr>
        <w:rPr>
          <w:sz w:val="25"/>
          <w:szCs w:val="25"/>
        </w:rPr>
      </w:pPr>
      <w:r w:rsidRPr="00D312F7">
        <w:rPr>
          <w:b/>
          <w:i/>
          <w:noProof/>
          <w:sz w:val="25"/>
          <w:szCs w:val="25"/>
          <w:lang w:bidi="es-ES"/>
        </w:rPr>
        <w:drawing>
          <wp:anchor distT="0" distB="0" distL="114300" distR="114300" simplePos="0" relativeHeight="251673600" behindDoc="1" locked="0" layoutInCell="1" allowOverlap="1" wp14:anchorId="39F6129A" wp14:editId="084EE131">
            <wp:simplePos x="0" y="0"/>
            <wp:positionH relativeFrom="column">
              <wp:posOffset>-59055</wp:posOffset>
            </wp:positionH>
            <wp:positionV relativeFrom="paragraph">
              <wp:posOffset>78202</wp:posOffset>
            </wp:positionV>
            <wp:extent cx="1187450" cy="1187450"/>
            <wp:effectExtent l="0" t="0" r="6350" b="6350"/>
            <wp:wrapTight wrapText="bothSides">
              <wp:wrapPolygon edited="0">
                <wp:start x="0" y="0"/>
                <wp:lineTo x="0" y="21484"/>
                <wp:lineTo x="21484" y="21484"/>
                <wp:lineTo x="21484" y="0"/>
                <wp:lineTo x="0" y="0"/>
              </wp:wrapPolygon>
            </wp:wrapTight>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34">
                      <a:extLst>
                        <a:ext uri="{28A0092B-C50C-407E-A947-70E740481C1C}">
                          <a14:useLocalDpi xmlns:a14="http://schemas.microsoft.com/office/drawing/2010/main" val="0"/>
                        </a:ext>
                        <a:ext uri="{FF2B5EF4-FFF2-40B4-BE49-F238E27FC236}">
                          <a16:creationId xmlns:a16="http://schemas.microsoft.com/office/drawing/2014/main"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id="{D9C82E31-1366-33EA-53DE-47C4BF629C2C}"/>
                        </a:ext>
                      </a:extLst>
                    </a:blip>
                    <a:stretch>
                      <a:fillRect/>
                    </a:stretch>
                  </pic:blipFill>
                  <pic:spPr>
                    <a:xfrm>
                      <a:off x="0" y="0"/>
                      <a:ext cx="1187450" cy="1187450"/>
                    </a:xfrm>
                    <a:prstGeom prst="rect">
                      <a:avLst/>
                    </a:prstGeom>
                  </pic:spPr>
                </pic:pic>
              </a:graphicData>
            </a:graphic>
            <wp14:sizeRelH relativeFrom="page">
              <wp14:pctWidth>0</wp14:pctWidth>
            </wp14:sizeRelH>
            <wp14:sizeRelV relativeFrom="page">
              <wp14:pctHeight>0</wp14:pctHeight>
            </wp14:sizeRelV>
          </wp:anchor>
        </w:drawing>
      </w:r>
      <w:r w:rsidR="00CC5AB9" w:rsidRPr="00D312F7">
        <w:rPr>
          <w:sz w:val="25"/>
          <w:szCs w:val="25"/>
          <w:lang w:bidi="es-ES"/>
        </w:rPr>
        <w:t xml:space="preserve">Visite nuestro sitio web para inscribirse a las actualizaciones sobre capacitaciones en vivo, asistencia técnica grupal, publicaciones nuevas y otros eventos en el Centro. </w:t>
      </w:r>
      <w:r w:rsidR="00ED65E4" w:rsidRPr="00D312F7">
        <w:rPr>
          <w:sz w:val="25"/>
          <w:szCs w:val="25"/>
          <w:lang w:bidi="es-ES"/>
        </w:rPr>
        <w:br w:type="page"/>
      </w:r>
    </w:p>
    <w:p w14:paraId="07F3ACCB" w14:textId="6478EAE5" w:rsidR="00E60A05" w:rsidRPr="00ED65E4" w:rsidRDefault="5A342086" w:rsidP="000530E0">
      <w:pPr>
        <w:pStyle w:val="Heading1"/>
      </w:pPr>
      <w:r w:rsidRPr="00ED65E4">
        <w:lastRenderedPageBreak/>
        <w:t>Atribución del Centro IL T&amp;TA</w:t>
      </w:r>
    </w:p>
    <w:p w14:paraId="43BA3300" w14:textId="77777777" w:rsidR="002F3ACD" w:rsidRPr="00ED65E4" w:rsidRDefault="002F3ACD" w:rsidP="00254A09"/>
    <w:p w14:paraId="08EF8965" w14:textId="67CF803D" w:rsidR="002F3ACD" w:rsidRPr="00ED65E4" w:rsidRDefault="000D1689" w:rsidP="000D2CD5">
      <w:pPr>
        <w:jc w:val="center"/>
      </w:pPr>
      <w:r w:rsidRPr="00ED65E4">
        <w:rPr>
          <w:noProof/>
          <w:lang w:bidi="es-ES"/>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7E9A173D" w14:textId="16B876A0" w:rsidR="00207BE9" w:rsidRPr="008D3EA7" w:rsidRDefault="00E60A05" w:rsidP="008D3EA7">
      <w:pPr>
        <w:rPr>
          <w:sz w:val="25"/>
          <w:szCs w:val="25"/>
        </w:rPr>
      </w:pPr>
      <w:r w:rsidRPr="000D2CD5">
        <w:rPr>
          <w:sz w:val="25"/>
          <w:szCs w:val="25"/>
          <w:lang w:bidi="es-ES"/>
        </w:rPr>
        <w:t>Este proyecto se realiza mediante un contrato con la Administración de Discapacidades, Administración para la Vida Comunitaria, Departamento de Salud y Servicios Humanos.</w:t>
      </w:r>
      <w:r w:rsidR="00207BE9" w:rsidRPr="00ED65E4">
        <w:rPr>
          <w:lang w:bidi="es-ES"/>
        </w:rPr>
        <w:br w:type="page"/>
      </w:r>
    </w:p>
    <w:p w14:paraId="31352A8D" w14:textId="3E8BF9D5" w:rsidR="2BEEAFE4" w:rsidRPr="00F956A0" w:rsidRDefault="2BEEAFE4" w:rsidP="000530E0">
      <w:pPr>
        <w:pStyle w:val="Heading1"/>
        <w:rPr>
          <w:lang w:val="it-IT"/>
        </w:rPr>
      </w:pPr>
      <w:r w:rsidRPr="00F956A0">
        <w:rPr>
          <w:lang w:val="it-IT"/>
        </w:rPr>
        <w:lastRenderedPageBreak/>
        <w:t>Acerca del Centro IL T&amp; TA</w:t>
      </w:r>
    </w:p>
    <w:p w14:paraId="158DFC0B" w14:textId="77777777" w:rsidR="2BEEAFE4" w:rsidRPr="009746A1" w:rsidRDefault="2BEEAFE4" w:rsidP="00254A09">
      <w:r w:rsidRPr="009746A1">
        <w:rPr>
          <w:lang w:bidi="es-ES"/>
        </w:rPr>
        <w:t xml:space="preserve">El Centro de Capacitación y Asistencia Técnica para la Vida Independiente (Centro IL T&amp;TA) está disponible para usted a través de un contrato con el Departamento de Salud y Servicios Humanos de los EE. UU. </w:t>
      </w:r>
    </w:p>
    <w:p w14:paraId="7274A7D2" w14:textId="399A5936" w:rsidR="2BEEAFE4" w:rsidRPr="009746A1" w:rsidRDefault="2BEEAFE4" w:rsidP="00254A09">
      <w:r w:rsidRPr="009746A1">
        <w:rPr>
          <w:lang w:bidi="es-ES"/>
        </w:rPr>
        <w:t xml:space="preserve">El Centro IL T&amp;TA proporciona capacitación experta y asistencia técnica a Centros para la Vida Independiente (CIL), Consejos para la Vida Independiente a Nivel Estatal (SILC) y Entidades Estatales Designadas (DSE). </w:t>
      </w:r>
    </w:p>
    <w:p w14:paraId="0C5C38C8" w14:textId="664D1007" w:rsidR="63AF824F" w:rsidRPr="009746A1" w:rsidRDefault="2BEEAFE4" w:rsidP="009746A1">
      <w:pPr>
        <w:rPr>
          <w:rFonts w:eastAsia="Aptos" w:cs="Aptos"/>
        </w:rPr>
      </w:pPr>
      <w:r w:rsidRPr="009746A1">
        <w:rPr>
          <w:lang w:bidi="es-ES"/>
        </w:rPr>
        <w:t>El Centro es operado por el Instituto Rural para Comunidades Inclusivas de la Universidad de Montana.</w:t>
      </w:r>
      <w:r w:rsidRPr="009746A1">
        <w:rPr>
          <w:lang w:bidi="es-ES"/>
        </w:rPr>
        <w:br/>
      </w:r>
      <w:r w:rsidR="000D1689" w:rsidRPr="00ED65E4">
        <w:rPr>
          <w:noProof/>
          <w:lang w:bidi="es-ES"/>
        </w:rPr>
        <w:drawing>
          <wp:inline distT="0" distB="0" distL="0" distR="0" wp14:anchorId="11E1A432" wp14:editId="25EC2BF6">
            <wp:extent cx="2401556" cy="474980"/>
            <wp:effectExtent l="0" t="0" r="0" b="0"/>
            <wp:docPr id="1924688773" name="Picture 2" descr="Logotipo de la Universidad de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Logotipo de la Universidad de Montana"/>
                    <pic:cNvPicPr/>
                  </pic:nvPicPr>
                  <pic:blipFill rotWithShape="1">
                    <a:blip r:embed="rId36">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000D1689" w:rsidRPr="00ED65E4">
        <w:rPr>
          <w:noProof/>
          <w:lang w:bidi="es-ES"/>
        </w:rPr>
        <w:drawing>
          <wp:inline distT="0" distB="0" distL="0" distR="0" wp14:anchorId="0503D87A" wp14:editId="5F6D8B95">
            <wp:extent cx="996704" cy="442128"/>
            <wp:effectExtent l="0" t="0" r="0" b="2540"/>
            <wp:docPr id="423571512" name="Picture 423571512" descr="Logotipo de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Logotipo de IL T&amp;TA: Centro de Capacitación y Asistencia Técnica en Vida Independient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38"/>
      <w:footerReference w:type="default" r:id="rId39"/>
      <w:pgSz w:w="7200" w:h="8640"/>
      <w:pgMar w:top="630" w:right="630" w:bottom="360" w:left="720" w:header="432" w:footer="432" w:gutter="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hany" w:date="2026-01-08T10:46:00Z" w:initials="B">
    <w:p w14:paraId="53037065" w14:textId="77777777" w:rsidR="0011665B" w:rsidRDefault="0011665B" w:rsidP="0011665B">
      <w:r>
        <w:rPr>
          <w:rStyle w:val="CommentReference"/>
        </w:rPr>
        <w:annotationRef/>
      </w:r>
      <w:r>
        <w:rPr>
          <w:sz w:val="20"/>
          <w:szCs w:val="20"/>
        </w:rPr>
        <w:t xml:space="preserve">Waiting for link from JV.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37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DA908" w16cex:dateUtc="2026-01-08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37065" w16cid:durableId="119DA9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266C9" w14:textId="77777777" w:rsidR="0045301F" w:rsidRDefault="0045301F" w:rsidP="00254A09">
      <w:r>
        <w:separator/>
      </w:r>
    </w:p>
  </w:endnote>
  <w:endnote w:type="continuationSeparator" w:id="0">
    <w:p w14:paraId="2E05A296" w14:textId="77777777" w:rsidR="0045301F" w:rsidRDefault="0045301F" w:rsidP="0025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NewCenturySchlbk-Roman">
    <w:altName w:val="Yu Gothic"/>
    <w:panose1 w:val="020B0604020202020204"/>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4A3578" w:rsidRDefault="007E67B2" w:rsidP="00F956A0">
    <w:pPr>
      <w:pStyle w:val="Footer"/>
      <w:jc w:val="center"/>
      <w:rPr>
        <w:sz w:val="16"/>
        <w:szCs w:val="16"/>
      </w:rPr>
    </w:pPr>
    <w:r w:rsidRPr="004A3578">
      <w:rPr>
        <w:sz w:val="16"/>
        <w:szCs w:val="16"/>
        <w:lang w:bidi="es-ES"/>
      </w:rPr>
      <w:t>Centro de Capacitación y Asistencia Técnica para la Vida Independiente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3811" w14:textId="77777777" w:rsidR="0045301F" w:rsidRDefault="0045301F" w:rsidP="00254A09">
      <w:r>
        <w:separator/>
      </w:r>
    </w:p>
  </w:footnote>
  <w:footnote w:type="continuationSeparator" w:id="0">
    <w:p w14:paraId="5CA17975" w14:textId="77777777" w:rsidR="0045301F" w:rsidRDefault="0045301F" w:rsidP="0025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35498273"/>
      <w:docPartObj>
        <w:docPartGallery w:val="Page Numbers (Top of Page)"/>
        <w:docPartUnique/>
      </w:docPartObj>
    </w:sdtPr>
    <w:sdtEndPr>
      <w:rPr>
        <w:noProof/>
        <w:sz w:val="20"/>
        <w:szCs w:val="20"/>
      </w:rPr>
    </w:sdtEndPr>
    <w:sdtContent>
      <w:p w14:paraId="5F3AE50A" w14:textId="52B2E373" w:rsidR="00DC6D72" w:rsidRPr="004A3578" w:rsidRDefault="00DC6D72" w:rsidP="000530E0">
        <w:pPr>
          <w:spacing w:after="0"/>
          <w:jc w:val="right"/>
          <w:rPr>
            <w:sz w:val="20"/>
            <w:szCs w:val="20"/>
          </w:rPr>
        </w:pPr>
        <w:r w:rsidRPr="004A3578">
          <w:rPr>
            <w:sz w:val="20"/>
            <w:szCs w:val="20"/>
            <w:lang w:bidi="es-ES"/>
          </w:rPr>
          <w:t xml:space="preserve">&gt;&gt; DIAPOSITIVA </w:t>
        </w:r>
        <w:r w:rsidRPr="004A3578">
          <w:rPr>
            <w:sz w:val="20"/>
            <w:szCs w:val="20"/>
            <w:lang w:bidi="es-ES"/>
          </w:rPr>
          <w:fldChar w:fldCharType="begin"/>
        </w:r>
        <w:r w:rsidRPr="004A3578">
          <w:rPr>
            <w:sz w:val="20"/>
            <w:szCs w:val="20"/>
            <w:lang w:bidi="es-ES"/>
          </w:rPr>
          <w:instrText xml:space="preserve"> PAGE   \* MERGEFORMAT </w:instrText>
        </w:r>
        <w:r w:rsidRPr="004A3578">
          <w:rPr>
            <w:sz w:val="20"/>
            <w:szCs w:val="20"/>
            <w:lang w:bidi="es-ES"/>
          </w:rPr>
          <w:fldChar w:fldCharType="separate"/>
        </w:r>
        <w:r w:rsidRPr="004A3578">
          <w:rPr>
            <w:noProof/>
            <w:sz w:val="20"/>
            <w:szCs w:val="20"/>
            <w:lang w:bidi="es-ES"/>
          </w:rPr>
          <w:t>2</w:t>
        </w:r>
        <w:r w:rsidRPr="004A3578">
          <w:rPr>
            <w:noProof/>
            <w:sz w:val="20"/>
            <w:szCs w:val="20"/>
            <w:lang w:bidi="es-ES"/>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5648"/>
    <w:multiLevelType w:val="hybridMultilevel"/>
    <w:tmpl w:val="DA4E92EA"/>
    <w:lvl w:ilvl="0" w:tplc="912CC74A">
      <w:start w:val="1"/>
      <w:numFmt w:val="bullet"/>
      <w:pStyle w:val="BulletedList"/>
      <w:lvlText w:val=""/>
      <w:lvlJc w:val="left"/>
      <w:pPr>
        <w:ind w:left="72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1"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6" w15:restartNumberingAfterBreak="0">
    <w:nsid w:val="31710A40"/>
    <w:multiLevelType w:val="hybridMultilevel"/>
    <w:tmpl w:val="4956FD5E"/>
    <w:lvl w:ilvl="0" w:tplc="47FC1184">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11"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15"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17"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19"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8361A"/>
    <w:multiLevelType w:val="hybridMultilevel"/>
    <w:tmpl w:val="21D8D11A"/>
    <w:lvl w:ilvl="0" w:tplc="8BD03FDE">
      <w:start w:val="1"/>
      <w:numFmt w:val="bullet"/>
      <w:lvlText w:val="·"/>
      <w:lvlJc w:val="left"/>
      <w:pPr>
        <w:ind w:left="720" w:hanging="360"/>
      </w:pPr>
      <w:rPr>
        <w:rFonts w:ascii="Symbol" w:hAnsi="Symbol" w:hint="default"/>
      </w:rPr>
    </w:lvl>
    <w:lvl w:ilvl="1" w:tplc="9AF422C4">
      <w:start w:val="1"/>
      <w:numFmt w:val="bullet"/>
      <w:lvlText w:val="o"/>
      <w:lvlJc w:val="left"/>
      <w:pPr>
        <w:ind w:left="1440" w:hanging="360"/>
      </w:pPr>
      <w:rPr>
        <w:rFonts w:ascii="Courier New" w:hAnsi="Courier New" w:hint="default"/>
      </w:rPr>
    </w:lvl>
    <w:lvl w:ilvl="2" w:tplc="3E5A96F0">
      <w:start w:val="1"/>
      <w:numFmt w:val="bullet"/>
      <w:lvlText w:val=""/>
      <w:lvlJc w:val="left"/>
      <w:pPr>
        <w:ind w:left="2160" w:hanging="360"/>
      </w:pPr>
      <w:rPr>
        <w:rFonts w:ascii="Wingdings" w:hAnsi="Wingdings" w:hint="default"/>
      </w:rPr>
    </w:lvl>
    <w:lvl w:ilvl="3" w:tplc="EE5E3432">
      <w:start w:val="1"/>
      <w:numFmt w:val="bullet"/>
      <w:lvlText w:val=""/>
      <w:lvlJc w:val="left"/>
      <w:pPr>
        <w:ind w:left="2880" w:hanging="360"/>
      </w:pPr>
      <w:rPr>
        <w:rFonts w:ascii="Symbol" w:hAnsi="Symbol" w:hint="default"/>
      </w:rPr>
    </w:lvl>
    <w:lvl w:ilvl="4" w:tplc="B73C2D70">
      <w:start w:val="1"/>
      <w:numFmt w:val="bullet"/>
      <w:lvlText w:val="o"/>
      <w:lvlJc w:val="left"/>
      <w:pPr>
        <w:ind w:left="3600" w:hanging="360"/>
      </w:pPr>
      <w:rPr>
        <w:rFonts w:ascii="Courier New" w:hAnsi="Courier New" w:hint="default"/>
      </w:rPr>
    </w:lvl>
    <w:lvl w:ilvl="5" w:tplc="7812D260">
      <w:start w:val="1"/>
      <w:numFmt w:val="bullet"/>
      <w:lvlText w:val=""/>
      <w:lvlJc w:val="left"/>
      <w:pPr>
        <w:ind w:left="4320" w:hanging="360"/>
      </w:pPr>
      <w:rPr>
        <w:rFonts w:ascii="Wingdings" w:hAnsi="Wingdings" w:hint="default"/>
      </w:rPr>
    </w:lvl>
    <w:lvl w:ilvl="6" w:tplc="3FEA7970">
      <w:start w:val="1"/>
      <w:numFmt w:val="bullet"/>
      <w:lvlText w:val=""/>
      <w:lvlJc w:val="left"/>
      <w:pPr>
        <w:ind w:left="5040" w:hanging="360"/>
      </w:pPr>
      <w:rPr>
        <w:rFonts w:ascii="Symbol" w:hAnsi="Symbol" w:hint="default"/>
      </w:rPr>
    </w:lvl>
    <w:lvl w:ilvl="7" w:tplc="5E44E020">
      <w:start w:val="1"/>
      <w:numFmt w:val="bullet"/>
      <w:lvlText w:val="o"/>
      <w:lvlJc w:val="left"/>
      <w:pPr>
        <w:ind w:left="5760" w:hanging="360"/>
      </w:pPr>
      <w:rPr>
        <w:rFonts w:ascii="Courier New" w:hAnsi="Courier New" w:hint="default"/>
      </w:rPr>
    </w:lvl>
    <w:lvl w:ilvl="8" w:tplc="A6A44D30">
      <w:start w:val="1"/>
      <w:numFmt w:val="bullet"/>
      <w:lvlText w:val=""/>
      <w:lvlJc w:val="left"/>
      <w:pPr>
        <w:ind w:left="6480" w:hanging="360"/>
      </w:pPr>
      <w:rPr>
        <w:rFonts w:ascii="Wingdings" w:hAnsi="Wingdings" w:hint="default"/>
      </w:rPr>
    </w:lvl>
  </w:abstractNum>
  <w:num w:numId="1" w16cid:durableId="1563247203">
    <w:abstractNumId w:val="18"/>
  </w:num>
  <w:num w:numId="2" w16cid:durableId="933124336">
    <w:abstractNumId w:val="14"/>
  </w:num>
  <w:num w:numId="3" w16cid:durableId="1706447831">
    <w:abstractNumId w:val="10"/>
  </w:num>
  <w:num w:numId="4" w16cid:durableId="564998042">
    <w:abstractNumId w:val="16"/>
  </w:num>
  <w:num w:numId="5" w16cid:durableId="365716398">
    <w:abstractNumId w:val="0"/>
  </w:num>
  <w:num w:numId="6" w16cid:durableId="1218080731">
    <w:abstractNumId w:val="5"/>
  </w:num>
  <w:num w:numId="7" w16cid:durableId="833257184">
    <w:abstractNumId w:val="8"/>
  </w:num>
  <w:num w:numId="8" w16cid:durableId="798111364">
    <w:abstractNumId w:val="3"/>
  </w:num>
  <w:num w:numId="9" w16cid:durableId="742721237">
    <w:abstractNumId w:val="13"/>
  </w:num>
  <w:num w:numId="10" w16cid:durableId="175581561">
    <w:abstractNumId w:val="15"/>
  </w:num>
  <w:num w:numId="11" w16cid:durableId="1186603769">
    <w:abstractNumId w:val="1"/>
  </w:num>
  <w:num w:numId="12" w16cid:durableId="504321246">
    <w:abstractNumId w:val="11"/>
  </w:num>
  <w:num w:numId="13" w16cid:durableId="1075470218">
    <w:abstractNumId w:val="12"/>
  </w:num>
  <w:num w:numId="14" w16cid:durableId="519513241">
    <w:abstractNumId w:val="19"/>
  </w:num>
  <w:num w:numId="15" w16cid:durableId="2064019639">
    <w:abstractNumId w:val="7"/>
  </w:num>
  <w:num w:numId="16" w16cid:durableId="1534541275">
    <w:abstractNumId w:val="17"/>
  </w:num>
  <w:num w:numId="17" w16cid:durableId="1575974168">
    <w:abstractNumId w:val="9"/>
  </w:num>
  <w:num w:numId="18" w16cid:durableId="1295989291">
    <w:abstractNumId w:val="2"/>
  </w:num>
  <w:num w:numId="19" w16cid:durableId="431556688">
    <w:abstractNumId w:val="4"/>
  </w:num>
  <w:num w:numId="20" w16cid:durableId="1696349852">
    <w:abstractNumId w:val="20"/>
  </w:num>
  <w:num w:numId="21" w16cid:durableId="160746995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any">
    <w15:presenceInfo w15:providerId="AD" w15:userId="S::bethany@ncil.org::2fb63874-5df2-4099-a30d-44217d2ae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08CE"/>
    <w:rsid w:val="00026124"/>
    <w:rsid w:val="00026B92"/>
    <w:rsid w:val="00034983"/>
    <w:rsid w:val="00035667"/>
    <w:rsid w:val="00040884"/>
    <w:rsid w:val="000440E9"/>
    <w:rsid w:val="000470F7"/>
    <w:rsid w:val="00051A34"/>
    <w:rsid w:val="000530E0"/>
    <w:rsid w:val="00053670"/>
    <w:rsid w:val="000561F0"/>
    <w:rsid w:val="0005651B"/>
    <w:rsid w:val="00060936"/>
    <w:rsid w:val="000622D7"/>
    <w:rsid w:val="00070557"/>
    <w:rsid w:val="00080F44"/>
    <w:rsid w:val="0008692B"/>
    <w:rsid w:val="00090C8C"/>
    <w:rsid w:val="000A4F9E"/>
    <w:rsid w:val="000B663D"/>
    <w:rsid w:val="000B7C7A"/>
    <w:rsid w:val="000C7ADC"/>
    <w:rsid w:val="000D1689"/>
    <w:rsid w:val="000D2CD5"/>
    <w:rsid w:val="000D6FA4"/>
    <w:rsid w:val="000E05A5"/>
    <w:rsid w:val="000E453E"/>
    <w:rsid w:val="000E461D"/>
    <w:rsid w:val="00100646"/>
    <w:rsid w:val="00106EB9"/>
    <w:rsid w:val="001138B5"/>
    <w:rsid w:val="00115267"/>
    <w:rsid w:val="00116552"/>
    <w:rsid w:val="0011665B"/>
    <w:rsid w:val="00121073"/>
    <w:rsid w:val="00121847"/>
    <w:rsid w:val="00122AF8"/>
    <w:rsid w:val="001279F4"/>
    <w:rsid w:val="00131B18"/>
    <w:rsid w:val="00134E1F"/>
    <w:rsid w:val="0014702B"/>
    <w:rsid w:val="00151ABD"/>
    <w:rsid w:val="00151E0A"/>
    <w:rsid w:val="001569CD"/>
    <w:rsid w:val="00171F9C"/>
    <w:rsid w:val="0017238E"/>
    <w:rsid w:val="0018399D"/>
    <w:rsid w:val="00185D98"/>
    <w:rsid w:val="0019553D"/>
    <w:rsid w:val="00196CFE"/>
    <w:rsid w:val="001A0CCF"/>
    <w:rsid w:val="001B1E9F"/>
    <w:rsid w:val="001B6228"/>
    <w:rsid w:val="001C2FC2"/>
    <w:rsid w:val="001C65E8"/>
    <w:rsid w:val="001D2798"/>
    <w:rsid w:val="001D2C00"/>
    <w:rsid w:val="001E3852"/>
    <w:rsid w:val="001E5D53"/>
    <w:rsid w:val="001E7E92"/>
    <w:rsid w:val="001F3667"/>
    <w:rsid w:val="0020685A"/>
    <w:rsid w:val="0020774B"/>
    <w:rsid w:val="00207BE9"/>
    <w:rsid w:val="00221F12"/>
    <w:rsid w:val="00222ED4"/>
    <w:rsid w:val="00224DCD"/>
    <w:rsid w:val="0022512C"/>
    <w:rsid w:val="00230587"/>
    <w:rsid w:val="00233175"/>
    <w:rsid w:val="00251FD5"/>
    <w:rsid w:val="00254A09"/>
    <w:rsid w:val="002607E8"/>
    <w:rsid w:val="00266BD4"/>
    <w:rsid w:val="00272FF3"/>
    <w:rsid w:val="00274B61"/>
    <w:rsid w:val="0028778B"/>
    <w:rsid w:val="0029331A"/>
    <w:rsid w:val="00295408"/>
    <w:rsid w:val="002A1380"/>
    <w:rsid w:val="002A172A"/>
    <w:rsid w:val="002A2995"/>
    <w:rsid w:val="002A45F2"/>
    <w:rsid w:val="002A4E32"/>
    <w:rsid w:val="002A4F7D"/>
    <w:rsid w:val="002A5D61"/>
    <w:rsid w:val="002A62BC"/>
    <w:rsid w:val="002B0685"/>
    <w:rsid w:val="002C569A"/>
    <w:rsid w:val="002D06B7"/>
    <w:rsid w:val="002D159C"/>
    <w:rsid w:val="002D362D"/>
    <w:rsid w:val="002E107F"/>
    <w:rsid w:val="002E4DAB"/>
    <w:rsid w:val="002E65AB"/>
    <w:rsid w:val="002F06D3"/>
    <w:rsid w:val="002F3ACD"/>
    <w:rsid w:val="002F592A"/>
    <w:rsid w:val="00302CCF"/>
    <w:rsid w:val="003031C5"/>
    <w:rsid w:val="00306A85"/>
    <w:rsid w:val="003106B8"/>
    <w:rsid w:val="00320C04"/>
    <w:rsid w:val="00325D93"/>
    <w:rsid w:val="00326B70"/>
    <w:rsid w:val="00330B69"/>
    <w:rsid w:val="00330CB7"/>
    <w:rsid w:val="00331B94"/>
    <w:rsid w:val="00331DC5"/>
    <w:rsid w:val="003326B3"/>
    <w:rsid w:val="003327B6"/>
    <w:rsid w:val="0033453F"/>
    <w:rsid w:val="00346739"/>
    <w:rsid w:val="003555AD"/>
    <w:rsid w:val="00362B28"/>
    <w:rsid w:val="003679CA"/>
    <w:rsid w:val="003709A1"/>
    <w:rsid w:val="003810C9"/>
    <w:rsid w:val="0038452E"/>
    <w:rsid w:val="003867C1"/>
    <w:rsid w:val="00386EDF"/>
    <w:rsid w:val="003945D3"/>
    <w:rsid w:val="00396019"/>
    <w:rsid w:val="00396C04"/>
    <w:rsid w:val="00396D72"/>
    <w:rsid w:val="003B4918"/>
    <w:rsid w:val="003C3DE7"/>
    <w:rsid w:val="003D0EBC"/>
    <w:rsid w:val="003E0AF1"/>
    <w:rsid w:val="003E3919"/>
    <w:rsid w:val="003E5052"/>
    <w:rsid w:val="003F12BD"/>
    <w:rsid w:val="003F16D9"/>
    <w:rsid w:val="003F2347"/>
    <w:rsid w:val="003F4C3D"/>
    <w:rsid w:val="003F5FAB"/>
    <w:rsid w:val="00407D5B"/>
    <w:rsid w:val="00415D16"/>
    <w:rsid w:val="00423282"/>
    <w:rsid w:val="004266E1"/>
    <w:rsid w:val="00427E12"/>
    <w:rsid w:val="00430C84"/>
    <w:rsid w:val="00433A34"/>
    <w:rsid w:val="004365F0"/>
    <w:rsid w:val="00436B62"/>
    <w:rsid w:val="004408E8"/>
    <w:rsid w:val="00445F82"/>
    <w:rsid w:val="004462C7"/>
    <w:rsid w:val="00447A88"/>
    <w:rsid w:val="00447DB8"/>
    <w:rsid w:val="0045301F"/>
    <w:rsid w:val="00453981"/>
    <w:rsid w:val="004541C5"/>
    <w:rsid w:val="00455498"/>
    <w:rsid w:val="00456EA5"/>
    <w:rsid w:val="0046075D"/>
    <w:rsid w:val="00462FE9"/>
    <w:rsid w:val="00464EC1"/>
    <w:rsid w:val="00465598"/>
    <w:rsid w:val="004701DD"/>
    <w:rsid w:val="00470453"/>
    <w:rsid w:val="004707DC"/>
    <w:rsid w:val="00471E53"/>
    <w:rsid w:val="004760A7"/>
    <w:rsid w:val="00480D3A"/>
    <w:rsid w:val="0048149A"/>
    <w:rsid w:val="00485ED3"/>
    <w:rsid w:val="00487C4D"/>
    <w:rsid w:val="00492CC5"/>
    <w:rsid w:val="00492E1F"/>
    <w:rsid w:val="00497D84"/>
    <w:rsid w:val="004A3578"/>
    <w:rsid w:val="004A4EE0"/>
    <w:rsid w:val="004B16CC"/>
    <w:rsid w:val="004B6747"/>
    <w:rsid w:val="004D2687"/>
    <w:rsid w:val="004D4B48"/>
    <w:rsid w:val="004E1BDC"/>
    <w:rsid w:val="004F127E"/>
    <w:rsid w:val="00506A3E"/>
    <w:rsid w:val="00510270"/>
    <w:rsid w:val="0051467D"/>
    <w:rsid w:val="00524F6B"/>
    <w:rsid w:val="00525C40"/>
    <w:rsid w:val="00536C21"/>
    <w:rsid w:val="005410FF"/>
    <w:rsid w:val="00544DF4"/>
    <w:rsid w:val="005460C0"/>
    <w:rsid w:val="0055285A"/>
    <w:rsid w:val="00552C80"/>
    <w:rsid w:val="0056604A"/>
    <w:rsid w:val="00567AC0"/>
    <w:rsid w:val="0057200F"/>
    <w:rsid w:val="0057B660"/>
    <w:rsid w:val="00590813"/>
    <w:rsid w:val="005964CB"/>
    <w:rsid w:val="005A60BC"/>
    <w:rsid w:val="005A6F6D"/>
    <w:rsid w:val="005B3D7E"/>
    <w:rsid w:val="005D00A6"/>
    <w:rsid w:val="005E1411"/>
    <w:rsid w:val="005E5A4B"/>
    <w:rsid w:val="005F093A"/>
    <w:rsid w:val="005F1121"/>
    <w:rsid w:val="005F221B"/>
    <w:rsid w:val="005F543A"/>
    <w:rsid w:val="006052CA"/>
    <w:rsid w:val="006110F4"/>
    <w:rsid w:val="00615A20"/>
    <w:rsid w:val="00620E9E"/>
    <w:rsid w:val="00621B62"/>
    <w:rsid w:val="0062464F"/>
    <w:rsid w:val="00627540"/>
    <w:rsid w:val="00636BAE"/>
    <w:rsid w:val="006404E2"/>
    <w:rsid w:val="0064143B"/>
    <w:rsid w:val="006466EA"/>
    <w:rsid w:val="006531C2"/>
    <w:rsid w:val="0065588E"/>
    <w:rsid w:val="0065608C"/>
    <w:rsid w:val="006646B9"/>
    <w:rsid w:val="00671D90"/>
    <w:rsid w:val="006754CF"/>
    <w:rsid w:val="00680735"/>
    <w:rsid w:val="00680E85"/>
    <w:rsid w:val="00690091"/>
    <w:rsid w:val="006905A4"/>
    <w:rsid w:val="00693D7F"/>
    <w:rsid w:val="00694EA4"/>
    <w:rsid w:val="00696515"/>
    <w:rsid w:val="006A2310"/>
    <w:rsid w:val="006A4F12"/>
    <w:rsid w:val="006A55C4"/>
    <w:rsid w:val="006B7122"/>
    <w:rsid w:val="006C64F8"/>
    <w:rsid w:val="006C6BFD"/>
    <w:rsid w:val="006D13CD"/>
    <w:rsid w:val="006D2BBA"/>
    <w:rsid w:val="006D2C55"/>
    <w:rsid w:val="006F06D2"/>
    <w:rsid w:val="006F1D85"/>
    <w:rsid w:val="0070118A"/>
    <w:rsid w:val="0070458B"/>
    <w:rsid w:val="00705B92"/>
    <w:rsid w:val="00713829"/>
    <w:rsid w:val="007150D2"/>
    <w:rsid w:val="007166DA"/>
    <w:rsid w:val="00717838"/>
    <w:rsid w:val="00723AE2"/>
    <w:rsid w:val="00730767"/>
    <w:rsid w:val="0073078F"/>
    <w:rsid w:val="0073155C"/>
    <w:rsid w:val="00740262"/>
    <w:rsid w:val="007430CE"/>
    <w:rsid w:val="007446B3"/>
    <w:rsid w:val="007576A5"/>
    <w:rsid w:val="00757F7E"/>
    <w:rsid w:val="00762A6A"/>
    <w:rsid w:val="00764B04"/>
    <w:rsid w:val="00767C3D"/>
    <w:rsid w:val="00771F64"/>
    <w:rsid w:val="00774680"/>
    <w:rsid w:val="00780C66"/>
    <w:rsid w:val="00781525"/>
    <w:rsid w:val="007847E0"/>
    <w:rsid w:val="00784B50"/>
    <w:rsid w:val="007876FB"/>
    <w:rsid w:val="00790E01"/>
    <w:rsid w:val="00792050"/>
    <w:rsid w:val="007A08A6"/>
    <w:rsid w:val="007B164E"/>
    <w:rsid w:val="007C1BAC"/>
    <w:rsid w:val="007C3D63"/>
    <w:rsid w:val="007C57D8"/>
    <w:rsid w:val="007C5CE2"/>
    <w:rsid w:val="007D7892"/>
    <w:rsid w:val="007E2A0F"/>
    <w:rsid w:val="007E67B2"/>
    <w:rsid w:val="007F641C"/>
    <w:rsid w:val="008022A8"/>
    <w:rsid w:val="0080490A"/>
    <w:rsid w:val="0080779B"/>
    <w:rsid w:val="00807FAD"/>
    <w:rsid w:val="00814868"/>
    <w:rsid w:val="00815EF9"/>
    <w:rsid w:val="00820BB1"/>
    <w:rsid w:val="00823CEC"/>
    <w:rsid w:val="0082504A"/>
    <w:rsid w:val="00827F4E"/>
    <w:rsid w:val="00831F1F"/>
    <w:rsid w:val="00843089"/>
    <w:rsid w:val="008508FB"/>
    <w:rsid w:val="00877557"/>
    <w:rsid w:val="008818C8"/>
    <w:rsid w:val="00887AB1"/>
    <w:rsid w:val="00895117"/>
    <w:rsid w:val="008971E6"/>
    <w:rsid w:val="008A24ED"/>
    <w:rsid w:val="008A8E0E"/>
    <w:rsid w:val="008B4E63"/>
    <w:rsid w:val="008C3696"/>
    <w:rsid w:val="008C6994"/>
    <w:rsid w:val="008D150C"/>
    <w:rsid w:val="008D3EA7"/>
    <w:rsid w:val="008D5E16"/>
    <w:rsid w:val="008D5F2F"/>
    <w:rsid w:val="008D6569"/>
    <w:rsid w:val="008F03C2"/>
    <w:rsid w:val="008F1120"/>
    <w:rsid w:val="008F1D84"/>
    <w:rsid w:val="008F3245"/>
    <w:rsid w:val="008F5E8D"/>
    <w:rsid w:val="008F5F95"/>
    <w:rsid w:val="00901ABF"/>
    <w:rsid w:val="00903132"/>
    <w:rsid w:val="00907060"/>
    <w:rsid w:val="009100DF"/>
    <w:rsid w:val="0091547C"/>
    <w:rsid w:val="00917CEA"/>
    <w:rsid w:val="00919FC1"/>
    <w:rsid w:val="009208D1"/>
    <w:rsid w:val="00923B19"/>
    <w:rsid w:val="00924005"/>
    <w:rsid w:val="00926598"/>
    <w:rsid w:val="0092721E"/>
    <w:rsid w:val="00931977"/>
    <w:rsid w:val="00935399"/>
    <w:rsid w:val="009404E0"/>
    <w:rsid w:val="00941A47"/>
    <w:rsid w:val="00942FBE"/>
    <w:rsid w:val="00944E48"/>
    <w:rsid w:val="0096135F"/>
    <w:rsid w:val="009675F3"/>
    <w:rsid w:val="009723EA"/>
    <w:rsid w:val="009746A1"/>
    <w:rsid w:val="00980297"/>
    <w:rsid w:val="0098069A"/>
    <w:rsid w:val="00983C94"/>
    <w:rsid w:val="009920E5"/>
    <w:rsid w:val="00997A65"/>
    <w:rsid w:val="009A2176"/>
    <w:rsid w:val="009A75DD"/>
    <w:rsid w:val="009B0E6B"/>
    <w:rsid w:val="009B25F4"/>
    <w:rsid w:val="009B2B06"/>
    <w:rsid w:val="009B4CA9"/>
    <w:rsid w:val="009C02D7"/>
    <w:rsid w:val="009C5486"/>
    <w:rsid w:val="009C626F"/>
    <w:rsid w:val="009D0C48"/>
    <w:rsid w:val="009D2735"/>
    <w:rsid w:val="009E36CA"/>
    <w:rsid w:val="009E4FFF"/>
    <w:rsid w:val="009E7458"/>
    <w:rsid w:val="009F0DE3"/>
    <w:rsid w:val="00A073AC"/>
    <w:rsid w:val="00A14C6C"/>
    <w:rsid w:val="00A20AE5"/>
    <w:rsid w:val="00A22448"/>
    <w:rsid w:val="00A24987"/>
    <w:rsid w:val="00A26AC1"/>
    <w:rsid w:val="00A31A4E"/>
    <w:rsid w:val="00A53360"/>
    <w:rsid w:val="00A54BE7"/>
    <w:rsid w:val="00A61E3B"/>
    <w:rsid w:val="00A6690B"/>
    <w:rsid w:val="00A7044C"/>
    <w:rsid w:val="00A816D3"/>
    <w:rsid w:val="00A81DA5"/>
    <w:rsid w:val="00A8634D"/>
    <w:rsid w:val="00A91DC1"/>
    <w:rsid w:val="00AA4678"/>
    <w:rsid w:val="00AB4544"/>
    <w:rsid w:val="00AD10C6"/>
    <w:rsid w:val="00AD50E4"/>
    <w:rsid w:val="00AE0744"/>
    <w:rsid w:val="00AEC903"/>
    <w:rsid w:val="00AF2CF3"/>
    <w:rsid w:val="00AF2F68"/>
    <w:rsid w:val="00AF3F9A"/>
    <w:rsid w:val="00AF5D9B"/>
    <w:rsid w:val="00B0328A"/>
    <w:rsid w:val="00B20F4C"/>
    <w:rsid w:val="00B2BED8"/>
    <w:rsid w:val="00B3657D"/>
    <w:rsid w:val="00B3776C"/>
    <w:rsid w:val="00B554B7"/>
    <w:rsid w:val="00B60579"/>
    <w:rsid w:val="00B65593"/>
    <w:rsid w:val="00B72526"/>
    <w:rsid w:val="00B7437E"/>
    <w:rsid w:val="00B75D53"/>
    <w:rsid w:val="00B77FC3"/>
    <w:rsid w:val="00B85DBC"/>
    <w:rsid w:val="00B87C92"/>
    <w:rsid w:val="00B91CCF"/>
    <w:rsid w:val="00B92523"/>
    <w:rsid w:val="00BA343E"/>
    <w:rsid w:val="00BC15C2"/>
    <w:rsid w:val="00BC2228"/>
    <w:rsid w:val="00BC5A25"/>
    <w:rsid w:val="00BC5A91"/>
    <w:rsid w:val="00BD22F8"/>
    <w:rsid w:val="00BD42C6"/>
    <w:rsid w:val="00BD4E43"/>
    <w:rsid w:val="00BE45C0"/>
    <w:rsid w:val="00BF2A9C"/>
    <w:rsid w:val="00BF3B05"/>
    <w:rsid w:val="00BF73FF"/>
    <w:rsid w:val="00C04C9E"/>
    <w:rsid w:val="00C05172"/>
    <w:rsid w:val="00C11B61"/>
    <w:rsid w:val="00C17D9C"/>
    <w:rsid w:val="00C220D0"/>
    <w:rsid w:val="00C22124"/>
    <w:rsid w:val="00C24899"/>
    <w:rsid w:val="00C3AA51"/>
    <w:rsid w:val="00C64F3B"/>
    <w:rsid w:val="00C73DB5"/>
    <w:rsid w:val="00C77DC8"/>
    <w:rsid w:val="00C94F2B"/>
    <w:rsid w:val="00C9591B"/>
    <w:rsid w:val="00C974F8"/>
    <w:rsid w:val="00CC3516"/>
    <w:rsid w:val="00CC3E15"/>
    <w:rsid w:val="00CC5AB9"/>
    <w:rsid w:val="00CD4A5C"/>
    <w:rsid w:val="00CE495D"/>
    <w:rsid w:val="00CE65E3"/>
    <w:rsid w:val="00CF0623"/>
    <w:rsid w:val="00CF13D7"/>
    <w:rsid w:val="00CF5A1A"/>
    <w:rsid w:val="00D01A5E"/>
    <w:rsid w:val="00D03B06"/>
    <w:rsid w:val="00D1286D"/>
    <w:rsid w:val="00D3066A"/>
    <w:rsid w:val="00D312F7"/>
    <w:rsid w:val="00D36E4C"/>
    <w:rsid w:val="00D40BA5"/>
    <w:rsid w:val="00D57D10"/>
    <w:rsid w:val="00D70038"/>
    <w:rsid w:val="00D70870"/>
    <w:rsid w:val="00D74026"/>
    <w:rsid w:val="00D7455E"/>
    <w:rsid w:val="00D8651F"/>
    <w:rsid w:val="00D9600F"/>
    <w:rsid w:val="00DA52AA"/>
    <w:rsid w:val="00DA5C92"/>
    <w:rsid w:val="00DB25D9"/>
    <w:rsid w:val="00DB3933"/>
    <w:rsid w:val="00DB3CAD"/>
    <w:rsid w:val="00DB5AFE"/>
    <w:rsid w:val="00DB66EA"/>
    <w:rsid w:val="00DC5637"/>
    <w:rsid w:val="00DC5CD5"/>
    <w:rsid w:val="00DC6D72"/>
    <w:rsid w:val="00DD6DAC"/>
    <w:rsid w:val="00DE0C66"/>
    <w:rsid w:val="00DE160C"/>
    <w:rsid w:val="00DE1EF5"/>
    <w:rsid w:val="00DE4249"/>
    <w:rsid w:val="00DF2733"/>
    <w:rsid w:val="00E01C6F"/>
    <w:rsid w:val="00E02DD3"/>
    <w:rsid w:val="00E0E547"/>
    <w:rsid w:val="00E15AAA"/>
    <w:rsid w:val="00E16251"/>
    <w:rsid w:val="00E22AFF"/>
    <w:rsid w:val="00E25771"/>
    <w:rsid w:val="00E26202"/>
    <w:rsid w:val="00E33281"/>
    <w:rsid w:val="00E3458E"/>
    <w:rsid w:val="00E35BC3"/>
    <w:rsid w:val="00E36D6B"/>
    <w:rsid w:val="00E40D66"/>
    <w:rsid w:val="00E42512"/>
    <w:rsid w:val="00E43B7F"/>
    <w:rsid w:val="00E56AB3"/>
    <w:rsid w:val="00E60A05"/>
    <w:rsid w:val="00E61825"/>
    <w:rsid w:val="00E852BA"/>
    <w:rsid w:val="00EA4B90"/>
    <w:rsid w:val="00EA7A2D"/>
    <w:rsid w:val="00EB4F1E"/>
    <w:rsid w:val="00EB5986"/>
    <w:rsid w:val="00EC41CE"/>
    <w:rsid w:val="00ED3FEF"/>
    <w:rsid w:val="00ED4B12"/>
    <w:rsid w:val="00ED65E4"/>
    <w:rsid w:val="00EDB39F"/>
    <w:rsid w:val="00EE0058"/>
    <w:rsid w:val="00EE3E6E"/>
    <w:rsid w:val="00EF2AF9"/>
    <w:rsid w:val="00EF46E7"/>
    <w:rsid w:val="00F03B5F"/>
    <w:rsid w:val="00F04671"/>
    <w:rsid w:val="00F0736E"/>
    <w:rsid w:val="00F0786C"/>
    <w:rsid w:val="00F12866"/>
    <w:rsid w:val="00F14A0B"/>
    <w:rsid w:val="00F17AB5"/>
    <w:rsid w:val="00F45A77"/>
    <w:rsid w:val="00F53652"/>
    <w:rsid w:val="00F56C05"/>
    <w:rsid w:val="00F61EC4"/>
    <w:rsid w:val="00F73857"/>
    <w:rsid w:val="00F8073F"/>
    <w:rsid w:val="00F80FE6"/>
    <w:rsid w:val="00F90455"/>
    <w:rsid w:val="00F91832"/>
    <w:rsid w:val="00F953C2"/>
    <w:rsid w:val="00F956A0"/>
    <w:rsid w:val="00FA1A86"/>
    <w:rsid w:val="00FC17DD"/>
    <w:rsid w:val="00FC3AD2"/>
    <w:rsid w:val="00FC4BCF"/>
    <w:rsid w:val="00FD0FE2"/>
    <w:rsid w:val="00FD18C1"/>
    <w:rsid w:val="00FD3AFE"/>
    <w:rsid w:val="00FF1D31"/>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09"/>
    <w:pPr>
      <w:ind w:left="-90"/>
    </w:pPr>
    <w:rPr>
      <w:rFonts w:ascii="Montserrat" w:hAnsi="Montserrat"/>
      <w:sz w:val="26"/>
      <w:szCs w:val="26"/>
    </w:rPr>
  </w:style>
  <w:style w:type="paragraph" w:styleId="Heading1">
    <w:name w:val="heading 1"/>
    <w:basedOn w:val="Normal"/>
    <w:next w:val="Normal"/>
    <w:link w:val="Heading1Char"/>
    <w:uiPriority w:val="9"/>
    <w:qFormat/>
    <w:rsid w:val="000530E0"/>
    <w:pPr>
      <w:keepNext/>
      <w:keepLines/>
      <w:spacing w:after="80"/>
      <w:outlineLvl w:val="0"/>
    </w:pPr>
    <w:rPr>
      <w:rFonts w:eastAsiaTheme="majorEastAsia" w:cstheme="majorBidi"/>
      <w:b/>
      <w:bCs/>
      <w:color w:val="70003E"/>
      <w:sz w:val="31"/>
      <w:szCs w:val="31"/>
      <w:lang w:bidi="es-ES"/>
    </w:rPr>
  </w:style>
  <w:style w:type="paragraph" w:styleId="Heading2">
    <w:name w:val="heading 2"/>
    <w:basedOn w:val="Normal"/>
    <w:next w:val="Normal"/>
    <w:link w:val="Heading2Char"/>
    <w:uiPriority w:val="9"/>
    <w:unhideWhenUsed/>
    <w:qFormat/>
    <w:rsid w:val="7BF69556"/>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BF6955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0E0"/>
    <w:rPr>
      <w:rFonts w:ascii="Montserrat" w:eastAsiaTheme="majorEastAsia" w:hAnsi="Montserrat" w:cstheme="majorBidi"/>
      <w:b/>
      <w:bCs/>
      <w:color w:val="70003E"/>
      <w:sz w:val="31"/>
      <w:szCs w:val="31"/>
      <w:lang w:bidi="es-ES"/>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eastAsiaTheme="majorEastAsia"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after="0" w:line="240" w:lineRule="auto"/>
    </w:pPr>
  </w:style>
  <w:style w:type="paragraph" w:styleId="Footer">
    <w:name w:val="footer"/>
    <w:basedOn w:val="Normal"/>
    <w:link w:val="FooterChar"/>
    <w:uiPriority w:val="99"/>
    <w:unhideWhenUsed/>
    <w:rsid w:val="00E22AFF"/>
    <w:pPr>
      <w:tabs>
        <w:tab w:val="center" w:pos="4680"/>
        <w:tab w:val="right" w:pos="9360"/>
      </w:tabs>
      <w:spacing w:after="0"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after="0"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7B422999"/>
    <w:pPr>
      <w:numPr>
        <w:numId w:val="5"/>
      </w:numPr>
      <w:spacing w:line="276" w:lineRule="auto"/>
    </w:p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7B422999"/>
    <w:rPr>
      <w:sz w:val="28"/>
      <w:szCs w:val="28"/>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5"/>
      </w:numPr>
      <w:spacing w:line="276" w:lineRule="auto"/>
      <w:ind w:left="1260"/>
    </w:p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7BF69556"/>
    <w:pPr>
      <w:numPr>
        <w:ilvl w:val="2"/>
        <w:numId w:val="5"/>
      </w:numPr>
      <w:ind w:left="1800"/>
    </w:pPr>
  </w:style>
  <w:style w:type="character" w:customStyle="1" w:styleId="3rdLevelBulletChar">
    <w:name w:val="3rd Level Bullet Char"/>
    <w:basedOn w:val="DefaultParagraphFont"/>
    <w:link w:val="3rdLevelBullet"/>
    <w:uiPriority w:val="1"/>
    <w:rsid w:val="6AB4AD76"/>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lttacenter.org/wp-content/uploads/2025/09/SILC-Indicators-and-SILC-and-DSE-Assurances-1.2018.pdf" TargetMode="External"/><Relationship Id="rId26" Type="http://schemas.microsoft.com/office/2011/relationships/commentsExtended" Target="commentsExtended.xml"/><Relationship Id="rId39" Type="http://schemas.openxmlformats.org/officeDocument/2006/relationships/footer" Target="footer1.xml"/><Relationship Id="rId21" Type="http://schemas.openxmlformats.org/officeDocument/2006/relationships/image" Target="media/image7.png"/><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lttacenter.org/library/" TargetMode="External"/><Relationship Id="rId29" Type="http://schemas.openxmlformats.org/officeDocument/2006/relationships/image" Target="media/image9.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mt.co1.qualtrics.com/jfe/form/SV_cZMMK5OjDdHf9j0" TargetMode="External"/><Relationship Id="rId32" Type="http://schemas.openxmlformats.org/officeDocument/2006/relationships/hyperlink" Target="https://us02web.zoom.us/meeting/register/imfp24pqQAmUl9Y5oS1EGg" TargetMode="External"/><Relationship Id="rId37" Type="http://schemas.openxmlformats.org/officeDocument/2006/relationships/image" Target="media/image13.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code.house.gov/view.xhtml?path=/prelim@title29/chapter16/subchapter7&amp;edition=prelim" TargetMode="External"/><Relationship Id="rId23" Type="http://schemas.openxmlformats.org/officeDocument/2006/relationships/hyperlink" Target="https://www.youtube.com/playlist?list=PLM1Y3X9vijVpEdS2rGmSngpGorzH4f3Ze" TargetMode="External"/><Relationship Id="rId28" Type="http://schemas.microsoft.com/office/2018/08/relationships/commentsExtensible" Target="commentsExtensible.xml"/><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s://www.ilru.org/sites/default/files/SILC%20Guidebook.pdf" TargetMode="External"/><Relationship Id="rId31" Type="http://schemas.openxmlformats.org/officeDocument/2006/relationships/hyperlink" Target="https://us02web.zoom.us/meeting/register/cLqK3e2SSyenvONWUAbFBA"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8.svg"/><Relationship Id="rId27" Type="http://schemas.microsoft.com/office/2016/09/relationships/commentsIds" Target="commentsIds.xml"/><Relationship Id="rId30" Type="http://schemas.openxmlformats.org/officeDocument/2006/relationships/hyperlink" Target="https://us02web.zoom.us/meeting/register/UcK0-GWMRhuAg3GYO3PSow" TargetMode="External"/><Relationship Id="rId35" Type="http://schemas.openxmlformats.org/officeDocument/2006/relationships/image" Target="media/image11.png"/><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svg"/><Relationship Id="rId25" Type="http://schemas.openxmlformats.org/officeDocument/2006/relationships/comments" Target="comments.xml"/><Relationship Id="rId33" Type="http://schemas.openxmlformats.org/officeDocument/2006/relationships/hyperlink" Target="http://www.ILTTACenter.org" TargetMode="External"/><Relationship Id="rId3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2.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4.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58e63e8-8d39-499c-8f48-13adc9452f4c}" enabled="0" method="" siteId="{658e63e8-8d39-499c-8f48-13adc9452f4c}"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21</Pages>
  <Words>1427</Words>
  <Characters>7752</Characters>
  <Application>Microsoft Office Word</Application>
  <DocSecurity>0</DocSecurity>
  <Lines>323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5</cp:revision>
  <dcterms:created xsi:type="dcterms:W3CDTF">2026-01-20T15:15:00Z</dcterms:created>
  <dcterms:modified xsi:type="dcterms:W3CDTF">2026-01-20T15:41:00Z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