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2AB" w14:textId="77777777" w:rsidR="00A729D7" w:rsidRPr="00153DAB" w:rsidRDefault="00A729D7" w:rsidP="00A729D7">
      <w:pPr>
        <w:pStyle w:val="Ttulo3"/>
        <w:spacing w:before="0" w:line="240" w:lineRule="auto"/>
        <w:rPr>
          <w:rFonts w:asciiTheme="majorHAnsi" w:hAnsiTheme="majorHAnsi"/>
          <w:b/>
          <w:bCs/>
          <w:sz w:val="22"/>
          <w:szCs w:val="22"/>
        </w:rPr>
      </w:pPr>
      <w:r w:rsidRPr="00153DAB">
        <w:rPr>
          <w:rFonts w:asciiTheme="majorHAnsi" w:hAnsiTheme="majorHAnsi"/>
          <w:b/>
          <w:sz w:val="22"/>
          <w:szCs w:val="22"/>
          <w:lang w:bidi="es-ES"/>
        </w:rPr>
        <w:t>Si la cobertura de los condados cambia en el SPIL, ¿cambiará el financiamiento de la Parte C?</w:t>
      </w:r>
    </w:p>
    <w:p w14:paraId="0FD9FC95" w14:textId="62492F4E" w:rsidR="00A729D7" w:rsidRPr="00A24742" w:rsidRDefault="00A729D7" w:rsidP="00A729D7">
      <w:pPr>
        <w:spacing w:line="240" w:lineRule="auto"/>
        <w:rPr>
          <w:rFonts w:ascii="Aptos" w:hAnsi="Aptos"/>
        </w:rPr>
      </w:pPr>
      <w:r w:rsidRPr="00A24742">
        <w:rPr>
          <w:rFonts w:ascii="Aptos" w:eastAsia="Aptos" w:hAnsi="Aptos" w:cs="Aptos"/>
          <w:lang w:bidi="es-ES"/>
        </w:rPr>
        <w:t>Cambiar los condados en el SPIL puede afectar las asignaciones de la Parte B, pero no cambia quién recibe las subvenciones federales de la Parte C ni el monto recibido. La financiación de la Parte C se otorga directamente a los Centros para la Vida Independiente (CIL) y no cambia según cómo el SPIL designe la cobertura de los condados para los CIL.</w:t>
      </w:r>
    </w:p>
    <w:p w14:paraId="38BB872B"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¿Qué significa el reembolso "indebido" según el Artículo 2a de las Garantías de la DSE?</w:t>
      </w:r>
    </w:p>
    <w:p w14:paraId="0D3D4874" w14:textId="735E5BA8" w:rsidR="00A729D7" w:rsidRPr="00A24742" w:rsidRDefault="00A729D7" w:rsidP="003057F6">
      <w:pPr>
        <w:spacing w:line="240" w:lineRule="auto"/>
        <w:rPr>
          <w:rFonts w:ascii="Aptos" w:hAnsi="Aptos"/>
        </w:rPr>
      </w:pPr>
      <w:r w:rsidRPr="00A24742">
        <w:rPr>
          <w:rFonts w:ascii="Aptos" w:eastAsia="Aptos" w:hAnsi="Aptos" w:cs="Aptos"/>
          <w:lang w:bidi="es-ES"/>
        </w:rPr>
        <w:t>El término no está específicamente definido en la regulación. En la práctica, generalmente se refiere a gastos no permitidos (como cabildeo en lugar de defensa permitida) o costos que no están debidamente asignados o que no se cargan correctamente entre las fuentes de financiamiento, incluidos los costos indirectos.</w:t>
      </w:r>
      <w:r w:rsidR="00806F60" w:rsidRPr="00806F60">
        <w:rPr>
          <w:lang w:bidi="es-ES"/>
        </w:rPr>
        <w:t xml:space="preserve"> Esto puede incluir costos que no están permitidos, que no están debidamente documentados, que se cobran más de una vez, que se distribuyen de manera incorrecta entre las fuentes de financiamiento, que se incurren fuera del período de la subvención, o que no están aprobados en el presupuesto o en el alcance del trabajo. Según las reglas federales (2 CFR 200), la DSE debe asegurarse de que los CIL cumplan con estos requisitos y debe abordar cualquier costo indebido que se identifique.</w:t>
      </w:r>
    </w:p>
    <w:p w14:paraId="031136BA"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¿Qué opciones tienen los CIL si su DSE no actúa en su mejor interés?</w:t>
      </w:r>
    </w:p>
    <w:p w14:paraId="2FA4D35C" w14:textId="77CBAB85" w:rsidR="008A0914" w:rsidRPr="008A0914" w:rsidRDefault="008A0914" w:rsidP="008A0914">
      <w:pPr>
        <w:spacing w:line="240" w:lineRule="auto"/>
        <w:rPr>
          <w:rFonts w:ascii="Aptos" w:hAnsi="Aptos"/>
        </w:rPr>
      </w:pPr>
      <w:r w:rsidRPr="008A0914">
        <w:rPr>
          <w:rFonts w:ascii="Aptos" w:eastAsia="Aptos" w:hAnsi="Aptos" w:cs="Aptos"/>
          <w:lang w:bidi="es-ES"/>
        </w:rPr>
        <w:t>En primer lugar, los CIL deben documentar sus preocupaciones y contactar a su Oficial de Programa de la ACL. Involucrar al Centro de Asistencia Técnica y Capacitación para la Vida Independiente (T&amp;TA) también puede ayudar a la red a entender los requisitos federales, aclarar roles y explorar opciones para resolver problemas. El Consejo Estatal para la Vida Independiente (SILC) también puede servir como intermediario para ayudar a facilitar las conversaciones con la DSE y la red. En muchos casos, las preocupaciones pueden abordarse a través de asistencia técnica, acciones correctivas o una mejor coordinación sin cambiar la DSE. Si los problemas involucran un posible incumplimiento de los requisitos federales, la ACL puede involucrarse directamente con la DSE como parte de su función de supervisión.</w:t>
      </w:r>
    </w:p>
    <w:p w14:paraId="432A212F" w14:textId="76B204A5" w:rsidR="0065003B" w:rsidRDefault="008A0914" w:rsidP="0065003B">
      <w:pPr>
        <w:spacing w:line="240" w:lineRule="auto"/>
        <w:rPr>
          <w:rFonts w:ascii="Aptos" w:hAnsi="Aptos"/>
        </w:rPr>
      </w:pPr>
      <w:r w:rsidRPr="008A0914">
        <w:rPr>
          <w:rFonts w:ascii="Aptos" w:eastAsia="Aptos" w:hAnsi="Aptos" w:cs="Aptos"/>
          <w:lang w:bidi="es-ES"/>
        </w:rPr>
        <w:t xml:space="preserve">Si las preocupaciones no pueden resolverse, la red estatal de IL puede optar por cambiar su DSE, generalmente al final de un ciclo de SPIL a través del siguiente SPIL, lo que requiere que al menos el 51 % de los CIL firmen. Los cambios anticipados son posibles pero requieren un SPIL enmendado, que incluya avisos y audiencias públicas, lo que puede ser complejo y llevar mucho tiempo. A medida que la red se acerque a otras agencias estatales para asumir el rol de la DSE, debe considerar los posibles impactos en el financiamiento, como la pérdida de fondos de I y E y de los fondos de Reembolso de Seguro Social. (Si bien el departamento de rehabilitación puede continuar otorgando esos fondos incluso si no son la DSE, es poco probable.) </w:t>
      </w:r>
    </w:p>
    <w:p w14:paraId="666F85FD" w14:textId="1ABF97AA" w:rsidR="00A729D7" w:rsidRPr="00153DAB" w:rsidRDefault="00A729D7" w:rsidP="0065003B">
      <w:pPr>
        <w:spacing w:line="240" w:lineRule="auto"/>
        <w:rPr>
          <w:rFonts w:ascii="Aptos" w:hAnsi="Aptos"/>
          <w:b/>
          <w:bCs/>
        </w:rPr>
      </w:pPr>
      <w:r w:rsidRPr="00153DAB">
        <w:rPr>
          <w:rFonts w:ascii="Aptos" w:eastAsia="Aptos" w:hAnsi="Aptos" w:cs="Aptos"/>
          <w:b/>
          <w:lang w:bidi="es-ES"/>
        </w:rPr>
        <w:t>¿Por qué el portal PPR del los CIL no coincide con la numeración oficial de los instrumentos?</w:t>
      </w:r>
    </w:p>
    <w:p w14:paraId="5F742408" w14:textId="0CB8311A" w:rsidR="00A729D7" w:rsidRPr="00A24742" w:rsidRDefault="00A729D7" w:rsidP="00A729D7">
      <w:pPr>
        <w:spacing w:line="240" w:lineRule="auto"/>
        <w:rPr>
          <w:rFonts w:ascii="Aptos" w:hAnsi="Aptos"/>
        </w:rPr>
      </w:pPr>
      <w:r w:rsidRPr="00A24742">
        <w:rPr>
          <w:rFonts w:ascii="Aptos" w:eastAsia="Aptos" w:hAnsi="Aptos" w:cs="Aptos"/>
          <w:lang w:bidi="es-ES"/>
        </w:rPr>
        <w:t>Esto se debe a un desajuste histórico de sistemas de informes anteriores que cambiaron la estructura sin actualizar el instrumento. La estructura actual del portal debe ser tratada como el formato oficial de presentación hasta que se finalicen e implementen las actualizaciones.</w:t>
      </w:r>
    </w:p>
    <w:p w14:paraId="1EB78CB8"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¿Se pueden modificar los formularios de elegibilidad del consumidor?</w:t>
      </w:r>
    </w:p>
    <w:p w14:paraId="029E1EBA" w14:textId="1F16A98A" w:rsidR="00A729D7" w:rsidRPr="00A24742" w:rsidRDefault="00A729D7" w:rsidP="00A729D7">
      <w:pPr>
        <w:spacing w:line="240" w:lineRule="auto"/>
        <w:rPr>
          <w:rFonts w:ascii="Aptos" w:hAnsi="Aptos"/>
        </w:rPr>
      </w:pPr>
      <w:r w:rsidRPr="00A24742">
        <w:rPr>
          <w:rFonts w:ascii="Aptos" w:eastAsia="Aptos" w:hAnsi="Aptos" w:cs="Aptos"/>
          <w:lang w:bidi="es-ES"/>
        </w:rPr>
        <w:t xml:space="preserve">Sí. Los formularios de elegibilidad del consumidor son locales y no están prescritos a nivel federal. La elegibilidad se cumple cuando una persona se identifica así misma como persona con discapacidad. Técnicamente, la ley utiliza el término “discapacidad significativa”, pero ese </w:t>
      </w:r>
      <w:r w:rsidRPr="00A24742">
        <w:rPr>
          <w:rFonts w:ascii="Aptos" w:eastAsia="Aptos" w:hAnsi="Aptos" w:cs="Aptos"/>
          <w:lang w:bidi="es-ES"/>
        </w:rPr>
        <w:lastRenderedPageBreak/>
        <w:t xml:space="preserve">lenguaje puede resultar confuso y crear una barrera innecesaria para las personas que tienen dificultades con la palabra “significativa”. </w:t>
      </w:r>
    </w:p>
    <w:p w14:paraId="715B0476"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¿Cómo se apoyan los centros pequeños o rurales cuando la capacidad es limitada?</w:t>
      </w:r>
    </w:p>
    <w:p w14:paraId="4BC70C41" w14:textId="4779E412" w:rsidR="00A729D7" w:rsidRPr="00A24742" w:rsidRDefault="00A729D7" w:rsidP="00A729D7">
      <w:pPr>
        <w:spacing w:line="240" w:lineRule="auto"/>
        <w:rPr>
          <w:rFonts w:ascii="Aptos" w:hAnsi="Aptos"/>
        </w:rPr>
      </w:pPr>
      <w:r w:rsidRPr="00A24742">
        <w:rPr>
          <w:rFonts w:ascii="Aptos" w:eastAsia="Aptos" w:hAnsi="Aptos" w:cs="Aptos"/>
          <w:lang w:bidi="es-ES"/>
        </w:rPr>
        <w:t>Se reconocen los desafíos de capacidad, pero no se abordan a través del PPR o el proceso de cumplimiento. El Centro debe anotar sus preocupaciones en sus narrativas del PPR y en su plan de trabajo, y debe solicitar Asistencia Técnica e involucrar a los oficiales del programa para obtener apoyo adicional.</w:t>
      </w:r>
    </w:p>
    <w:p w14:paraId="40E46044"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¿Deben los centros realizar PPR de muestra durante el año?</w:t>
      </w:r>
    </w:p>
    <w:p w14:paraId="144DDA70" w14:textId="42C0B277" w:rsidR="00A729D7" w:rsidRPr="00A24742" w:rsidRDefault="00A729D7" w:rsidP="00A729D7">
      <w:pPr>
        <w:spacing w:line="240" w:lineRule="auto"/>
        <w:rPr>
          <w:rFonts w:ascii="Aptos" w:hAnsi="Aptos"/>
        </w:rPr>
      </w:pPr>
      <w:r w:rsidRPr="00A24742">
        <w:rPr>
          <w:rFonts w:ascii="Aptos" w:eastAsia="Aptos" w:hAnsi="Aptos" w:cs="Aptos"/>
          <w:lang w:bidi="es-ES"/>
        </w:rPr>
        <w:t>Sí. Realizar PPR de muestra de manera anticipada, especialmente después del primer trimestre, ayuda a identificar datos faltantes o incorrectos antes del informe de fin de año. ¡Verificar la precisión y la integridad de sus datos siempre es una buena idea!</w:t>
      </w:r>
    </w:p>
    <w:p w14:paraId="09C1A3FA"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¿Necesitan los centros presentar varios PPR si tienen múltiples subvenciones?</w:t>
      </w:r>
    </w:p>
    <w:p w14:paraId="64BC6484" w14:textId="7BBB4ADC" w:rsidR="00A729D7" w:rsidRPr="00A24742" w:rsidRDefault="00A729D7" w:rsidP="00A729D7">
      <w:pPr>
        <w:spacing w:line="240" w:lineRule="auto"/>
        <w:rPr>
          <w:rFonts w:ascii="Aptos" w:hAnsi="Aptos"/>
        </w:rPr>
      </w:pPr>
      <w:r w:rsidRPr="00A24742">
        <w:rPr>
          <w:rFonts w:ascii="Aptos" w:eastAsia="Aptos" w:hAnsi="Aptos" w:cs="Aptos"/>
          <w:lang w:bidi="es-ES"/>
        </w:rPr>
        <w:t>Ya no. Los centros ahora deben presentar un PPR consolidado que incluya todas las subvenciones.</w:t>
      </w:r>
    </w:p>
    <w:p w14:paraId="2A690CB9"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¿Se notifica a los SILC si un CIL no presenta su PPR?</w:t>
      </w:r>
    </w:p>
    <w:p w14:paraId="1B19D6D9" w14:textId="77777777" w:rsidR="00A729D7" w:rsidRPr="00A24742" w:rsidRDefault="00A729D7" w:rsidP="00A729D7">
      <w:pPr>
        <w:spacing w:line="240" w:lineRule="auto"/>
        <w:rPr>
          <w:rFonts w:ascii="Aptos" w:hAnsi="Aptos"/>
        </w:rPr>
      </w:pPr>
      <w:r w:rsidRPr="00A24742">
        <w:rPr>
          <w:rFonts w:ascii="Aptos" w:eastAsia="Aptos" w:hAnsi="Aptos" w:cs="Aptos"/>
          <w:lang w:bidi="es-ES"/>
        </w:rPr>
        <w:t>No. No hay notificación automática. Los CIL están obligados a proporcionar una copia de su PPR al SILC.</w:t>
      </w:r>
    </w:p>
    <w:p w14:paraId="0E0B1558"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¿Qué es el financiamiento del Título VII Capítulo 2?</w:t>
      </w:r>
    </w:p>
    <w:p w14:paraId="5A3E8F4F" w14:textId="4B711FBA" w:rsidR="00A729D7" w:rsidRPr="00A24742" w:rsidRDefault="00A729D7" w:rsidP="00A729D7">
      <w:pPr>
        <w:spacing w:line="240" w:lineRule="auto"/>
        <w:rPr>
          <w:rFonts w:ascii="Aptos" w:hAnsi="Aptos"/>
        </w:rPr>
      </w:pPr>
      <w:r w:rsidRPr="00A24742">
        <w:rPr>
          <w:rFonts w:ascii="Aptos" w:eastAsia="Aptos" w:hAnsi="Aptos" w:cs="Aptos"/>
          <w:lang w:bidi="es-ES"/>
        </w:rPr>
        <w:t xml:space="preserve">Este financiamiento apoya los servicios para la Vida Independiente para personas mayores que son ciegas. Los centros deben entender cómo opera dentro de su estado. Aunque la mayoría de los centros no acceden a este financiamiento, pueden ser elegibles para hacerlo. </w:t>
      </w:r>
    </w:p>
    <w:p w14:paraId="2D0CA856" w14:textId="77777777" w:rsidR="00A729D7" w:rsidRPr="00153DAB" w:rsidRDefault="00A729D7" w:rsidP="00A729D7">
      <w:pPr>
        <w:pStyle w:val="Ttulo3"/>
        <w:spacing w:before="0" w:line="240" w:lineRule="auto"/>
        <w:rPr>
          <w:rFonts w:ascii="Aptos" w:hAnsi="Aptos"/>
          <w:b/>
          <w:bCs/>
          <w:sz w:val="22"/>
          <w:szCs w:val="22"/>
        </w:rPr>
      </w:pPr>
      <w:r w:rsidRPr="00153DAB">
        <w:rPr>
          <w:rFonts w:ascii="Aptos" w:eastAsia="Aptos" w:hAnsi="Aptos" w:cs="Aptos"/>
          <w:b/>
          <w:sz w:val="22"/>
          <w:szCs w:val="22"/>
          <w:lang w:bidi="es-ES"/>
        </w:rPr>
        <w:t>¿Dónde pueden los centros encontrar nuevos recursos de capacitación?</w:t>
      </w:r>
    </w:p>
    <w:p w14:paraId="2C8C145A" w14:textId="5D970915" w:rsidR="00153DAB" w:rsidRPr="00A729D7" w:rsidRDefault="00A729D7" w:rsidP="00A729D7">
      <w:pPr>
        <w:spacing w:line="240" w:lineRule="auto"/>
        <w:rPr>
          <w:rFonts w:ascii="Aptos" w:hAnsi="Aptos"/>
        </w:rPr>
      </w:pPr>
      <w:r w:rsidRPr="00A24742">
        <w:rPr>
          <w:rFonts w:ascii="Aptos" w:eastAsia="Aptos" w:hAnsi="Aptos" w:cs="Aptos"/>
          <w:lang w:bidi="es-ES"/>
        </w:rPr>
        <w:t>Hay nuevos cursos en línea y recursos de capacitación disponibles en el sitio web del Centro IL T&amp;TA, incluyendo registros de eventos, cursos en línea, recursos archivados e información de asistencia técnica.</w:t>
      </w:r>
    </w:p>
    <w:sectPr w:rsidR="00153DAB" w:rsidRPr="00A729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6806" w14:textId="77777777" w:rsidR="003F4EC3" w:rsidRDefault="003F4EC3" w:rsidP="003B3186">
      <w:pPr>
        <w:spacing w:after="0" w:line="240" w:lineRule="auto"/>
      </w:pPr>
      <w:r>
        <w:separator/>
      </w:r>
    </w:p>
  </w:endnote>
  <w:endnote w:type="continuationSeparator" w:id="0">
    <w:p w14:paraId="6905A890" w14:textId="77777777" w:rsidR="003F4EC3" w:rsidRDefault="003F4EC3" w:rsidP="003B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E58A" w14:textId="77777777" w:rsidR="003F4EC3" w:rsidRDefault="003F4EC3" w:rsidP="003B3186">
      <w:pPr>
        <w:spacing w:after="0" w:line="240" w:lineRule="auto"/>
      </w:pPr>
      <w:r>
        <w:separator/>
      </w:r>
    </w:p>
  </w:footnote>
  <w:footnote w:type="continuationSeparator" w:id="0">
    <w:p w14:paraId="59ED1F6E" w14:textId="77777777" w:rsidR="003F4EC3" w:rsidRDefault="003F4EC3" w:rsidP="003B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4EC" w14:textId="483B8615" w:rsidR="00464AA1" w:rsidRDefault="00464AA1">
    <w:pPr>
      <w:pStyle w:val="Encabezado"/>
      <w:rPr>
        <w:rFonts w:asciiTheme="majorHAnsi" w:hAnsiTheme="majorHAnsi"/>
      </w:rPr>
    </w:pPr>
    <w:r>
      <w:rPr>
        <w:rFonts w:asciiTheme="majorHAnsi" w:hAnsiTheme="majorHAnsi"/>
        <w:lang w:bidi="es-ES"/>
      </w:rPr>
      <w:t>Centro para la Vida Independiente (CIL)</w:t>
    </w:r>
  </w:p>
  <w:p w14:paraId="21E21960" w14:textId="6FEB4015" w:rsidR="00153DAB" w:rsidRPr="00464AA1" w:rsidRDefault="00464AA1">
    <w:pPr>
      <w:pStyle w:val="Encabezado"/>
      <w:rPr>
        <w:rFonts w:asciiTheme="majorHAnsi" w:hAnsiTheme="majorHAnsi"/>
      </w:rPr>
    </w:pPr>
    <w:r>
      <w:rPr>
        <w:rFonts w:asciiTheme="majorHAnsi" w:hAnsiTheme="majorHAnsi"/>
        <w:lang w:bidi="es-ES"/>
      </w:rPr>
      <w:t>Preguntas y respuestas sobre el Informe de Desempeño del Programa (PPR)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693"/>
    <w:multiLevelType w:val="multilevel"/>
    <w:tmpl w:val="35F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C2C"/>
    <w:multiLevelType w:val="multilevel"/>
    <w:tmpl w:val="E30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83335"/>
    <w:multiLevelType w:val="multilevel"/>
    <w:tmpl w:val="52E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556B6"/>
    <w:multiLevelType w:val="multilevel"/>
    <w:tmpl w:val="A7D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6238F"/>
    <w:multiLevelType w:val="multilevel"/>
    <w:tmpl w:val="E17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CCD"/>
    <w:multiLevelType w:val="multilevel"/>
    <w:tmpl w:val="2D9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F5A56"/>
    <w:multiLevelType w:val="multilevel"/>
    <w:tmpl w:val="D65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74987"/>
    <w:multiLevelType w:val="multilevel"/>
    <w:tmpl w:val="E9C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57DA7"/>
    <w:multiLevelType w:val="multilevel"/>
    <w:tmpl w:val="9FC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A5BC6"/>
    <w:multiLevelType w:val="multilevel"/>
    <w:tmpl w:val="F61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40230"/>
    <w:multiLevelType w:val="multilevel"/>
    <w:tmpl w:val="169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84FB0"/>
    <w:multiLevelType w:val="multilevel"/>
    <w:tmpl w:val="900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87729">
    <w:abstractNumId w:val="9"/>
  </w:num>
  <w:num w:numId="2" w16cid:durableId="1743403619">
    <w:abstractNumId w:val="0"/>
  </w:num>
  <w:num w:numId="3" w16cid:durableId="810899423">
    <w:abstractNumId w:val="1"/>
  </w:num>
  <w:num w:numId="4" w16cid:durableId="1901747989">
    <w:abstractNumId w:val="4"/>
  </w:num>
  <w:num w:numId="5" w16cid:durableId="746420594">
    <w:abstractNumId w:val="11"/>
  </w:num>
  <w:num w:numId="6" w16cid:durableId="264769141">
    <w:abstractNumId w:val="6"/>
  </w:num>
  <w:num w:numId="7" w16cid:durableId="1772505991">
    <w:abstractNumId w:val="7"/>
  </w:num>
  <w:num w:numId="8" w16cid:durableId="375156291">
    <w:abstractNumId w:val="5"/>
  </w:num>
  <w:num w:numId="9" w16cid:durableId="885264956">
    <w:abstractNumId w:val="8"/>
  </w:num>
  <w:num w:numId="10" w16cid:durableId="525293931">
    <w:abstractNumId w:val="3"/>
  </w:num>
  <w:num w:numId="11" w16cid:durableId="1140150096">
    <w:abstractNumId w:val="10"/>
  </w:num>
  <w:num w:numId="12" w16cid:durableId="25166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7C"/>
    <w:rsid w:val="00007F9F"/>
    <w:rsid w:val="000739FA"/>
    <w:rsid w:val="00082141"/>
    <w:rsid w:val="00102E07"/>
    <w:rsid w:val="00110CE2"/>
    <w:rsid w:val="00153DAB"/>
    <w:rsid w:val="00166A75"/>
    <w:rsid w:val="00236754"/>
    <w:rsid w:val="00276189"/>
    <w:rsid w:val="00283C3F"/>
    <w:rsid w:val="002B3C2C"/>
    <w:rsid w:val="002E7E27"/>
    <w:rsid w:val="003057F6"/>
    <w:rsid w:val="00320461"/>
    <w:rsid w:val="00365FB9"/>
    <w:rsid w:val="003B3186"/>
    <w:rsid w:val="003F4EC3"/>
    <w:rsid w:val="004138B0"/>
    <w:rsid w:val="0045497F"/>
    <w:rsid w:val="00464AA1"/>
    <w:rsid w:val="005317A2"/>
    <w:rsid w:val="005C464E"/>
    <w:rsid w:val="00625E71"/>
    <w:rsid w:val="0065003B"/>
    <w:rsid w:val="00661823"/>
    <w:rsid w:val="00720A11"/>
    <w:rsid w:val="0073717C"/>
    <w:rsid w:val="00764F26"/>
    <w:rsid w:val="007A38D2"/>
    <w:rsid w:val="007F235F"/>
    <w:rsid w:val="00806F60"/>
    <w:rsid w:val="008A0914"/>
    <w:rsid w:val="008F5FB7"/>
    <w:rsid w:val="00A729D7"/>
    <w:rsid w:val="00A976C7"/>
    <w:rsid w:val="00AB4925"/>
    <w:rsid w:val="00B9199F"/>
    <w:rsid w:val="00BD1E6E"/>
    <w:rsid w:val="00C35BBE"/>
    <w:rsid w:val="00C76F13"/>
    <w:rsid w:val="00D00679"/>
    <w:rsid w:val="00D3176C"/>
    <w:rsid w:val="00D729AF"/>
    <w:rsid w:val="00D754C2"/>
    <w:rsid w:val="00D8102D"/>
    <w:rsid w:val="00D842DB"/>
    <w:rsid w:val="00DD6037"/>
    <w:rsid w:val="00E85A4A"/>
    <w:rsid w:val="00E93A9C"/>
    <w:rsid w:val="00FC09E3"/>
    <w:rsid w:val="00FC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A8D0"/>
  <w15:chartTrackingRefBased/>
  <w15:docId w15:val="{F0916CC7-9AB2-4D8B-9B5B-BCB1D3F9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D7"/>
    <w:pPr>
      <w:spacing w:after="200" w:line="276" w:lineRule="auto"/>
    </w:pPr>
    <w:rPr>
      <w:rFonts w:eastAsiaTheme="minorEastAsia"/>
      <w:kern w:val="0"/>
      <w:sz w:val="22"/>
      <w:szCs w:val="22"/>
      <w14:ligatures w14:val="none"/>
    </w:rPr>
  </w:style>
  <w:style w:type="paragraph" w:styleId="Ttulo1">
    <w:name w:val="heading 1"/>
    <w:basedOn w:val="Normal"/>
    <w:next w:val="Normal"/>
    <w:link w:val="Ttulo1Car"/>
    <w:uiPriority w:val="9"/>
    <w:qFormat/>
    <w:rsid w:val="007371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7371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3717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3717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73717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73717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73717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73717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73717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1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371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371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71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71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71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71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71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717C"/>
    <w:rPr>
      <w:rFonts w:eastAsiaTheme="majorEastAsia" w:cstheme="majorBidi"/>
      <w:color w:val="272727" w:themeColor="text1" w:themeTint="D8"/>
    </w:rPr>
  </w:style>
  <w:style w:type="paragraph" w:styleId="Ttulo">
    <w:name w:val="Title"/>
    <w:basedOn w:val="Normal"/>
    <w:next w:val="Normal"/>
    <w:link w:val="TtuloCar"/>
    <w:uiPriority w:val="10"/>
    <w:qFormat/>
    <w:rsid w:val="007371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37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717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371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717C"/>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73717C"/>
    <w:rPr>
      <w:i/>
      <w:iCs/>
      <w:color w:val="404040" w:themeColor="text1" w:themeTint="BF"/>
    </w:rPr>
  </w:style>
  <w:style w:type="paragraph" w:styleId="Prrafodelista">
    <w:name w:val="List Paragraph"/>
    <w:basedOn w:val="Normal"/>
    <w:uiPriority w:val="34"/>
    <w:qFormat/>
    <w:rsid w:val="0073717C"/>
    <w:pPr>
      <w:spacing w:after="160" w:line="278" w:lineRule="auto"/>
      <w:ind w:left="720"/>
      <w:contextualSpacing/>
    </w:pPr>
    <w:rPr>
      <w:rFonts w:eastAsiaTheme="minorHAnsi"/>
      <w:kern w:val="2"/>
      <w:sz w:val="24"/>
      <w:szCs w:val="24"/>
      <w14:ligatures w14:val="standardContextual"/>
    </w:rPr>
  </w:style>
  <w:style w:type="character" w:styleId="nfasisintenso">
    <w:name w:val="Intense Emphasis"/>
    <w:basedOn w:val="Fuentedeprrafopredeter"/>
    <w:uiPriority w:val="21"/>
    <w:qFormat/>
    <w:rsid w:val="0073717C"/>
    <w:rPr>
      <w:i/>
      <w:iCs/>
      <w:color w:val="0F4761" w:themeColor="accent1" w:themeShade="BF"/>
    </w:rPr>
  </w:style>
  <w:style w:type="paragraph" w:styleId="Citadestacada">
    <w:name w:val="Intense Quote"/>
    <w:basedOn w:val="Normal"/>
    <w:next w:val="Normal"/>
    <w:link w:val="CitadestacadaCar"/>
    <w:uiPriority w:val="30"/>
    <w:qFormat/>
    <w:rsid w:val="007371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73717C"/>
    <w:rPr>
      <w:i/>
      <w:iCs/>
      <w:color w:val="0F4761" w:themeColor="accent1" w:themeShade="BF"/>
    </w:rPr>
  </w:style>
  <w:style w:type="character" w:styleId="Referenciaintensa">
    <w:name w:val="Intense Reference"/>
    <w:basedOn w:val="Fuentedeprrafopredeter"/>
    <w:uiPriority w:val="32"/>
    <w:qFormat/>
    <w:rsid w:val="0073717C"/>
    <w:rPr>
      <w:b/>
      <w:bCs/>
      <w:smallCaps/>
      <w:color w:val="0F4761" w:themeColor="accent1" w:themeShade="BF"/>
      <w:spacing w:val="5"/>
    </w:rPr>
  </w:style>
  <w:style w:type="character" w:styleId="Hipervnculo">
    <w:name w:val="Hyperlink"/>
    <w:basedOn w:val="Fuentedeprrafopredeter"/>
    <w:uiPriority w:val="99"/>
    <w:unhideWhenUsed/>
    <w:rsid w:val="0073717C"/>
    <w:rPr>
      <w:color w:val="467886" w:themeColor="hyperlink"/>
      <w:u w:val="single"/>
    </w:rPr>
  </w:style>
  <w:style w:type="character" w:styleId="Mencinsinresolver">
    <w:name w:val="Unresolved Mention"/>
    <w:basedOn w:val="Fuentedeprrafopredeter"/>
    <w:uiPriority w:val="99"/>
    <w:semiHidden/>
    <w:unhideWhenUsed/>
    <w:rsid w:val="0073717C"/>
    <w:rPr>
      <w:color w:val="605E5C"/>
      <w:shd w:val="clear" w:color="auto" w:fill="E1DFDD"/>
    </w:rPr>
  </w:style>
  <w:style w:type="paragraph" w:styleId="Encabezado">
    <w:name w:val="header"/>
    <w:basedOn w:val="Normal"/>
    <w:link w:val="EncabezadoCar"/>
    <w:uiPriority w:val="99"/>
    <w:unhideWhenUsed/>
    <w:rsid w:val="003B318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EncabezadoCar">
    <w:name w:val="Encabezado Car"/>
    <w:basedOn w:val="Fuentedeprrafopredeter"/>
    <w:link w:val="Encabezado"/>
    <w:uiPriority w:val="99"/>
    <w:rsid w:val="003B3186"/>
  </w:style>
  <w:style w:type="paragraph" w:styleId="Piedepgina">
    <w:name w:val="footer"/>
    <w:basedOn w:val="Normal"/>
    <w:link w:val="PiedepginaCar"/>
    <w:uiPriority w:val="99"/>
    <w:unhideWhenUsed/>
    <w:rsid w:val="003B318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PiedepginaCar">
    <w:name w:val="Pie de página Car"/>
    <w:basedOn w:val="Fuentedeprrafopredeter"/>
    <w:link w:val="Piedepgina"/>
    <w:uiPriority w:val="99"/>
    <w:rsid w:val="003B3186"/>
  </w:style>
  <w:style w:type="paragraph" w:customStyle="1" w:styleId="p1">
    <w:name w:val="p1"/>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Fuentedeprrafopredeter"/>
    <w:rsid w:val="00153DAB"/>
  </w:style>
  <w:style w:type="paragraph" w:customStyle="1" w:styleId="p3">
    <w:name w:val="p3"/>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Fuentedeprrafopredeter"/>
    <w:rsid w:val="00153DAB"/>
  </w:style>
  <w:style w:type="paragraph" w:customStyle="1" w:styleId="p4">
    <w:name w:val="p4"/>
    <w:basedOn w:val="Normal"/>
    <w:rsid w:val="00153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Fuentedeprrafopredeter"/>
    <w:rsid w:val="00153DAB"/>
  </w:style>
  <w:style w:type="paragraph" w:styleId="Revisin">
    <w:name w:val="Revision"/>
    <w:hidden/>
    <w:uiPriority w:val="99"/>
    <w:semiHidden/>
    <w:rsid w:val="002B3C2C"/>
    <w:pPr>
      <w:spacing w:after="0" w:line="240" w:lineRule="auto"/>
    </w:pPr>
    <w:rPr>
      <w:rFonts w:eastAsiaTheme="minorEastAsia"/>
      <w:kern w:val="0"/>
      <w:sz w:val="22"/>
      <w:szCs w:val="22"/>
      <w14:ligatures w14:val="none"/>
    </w:rPr>
  </w:style>
  <w:style w:type="character" w:styleId="Refdecomentario">
    <w:name w:val="annotation reference"/>
    <w:basedOn w:val="Fuentedeprrafopredeter"/>
    <w:uiPriority w:val="99"/>
    <w:semiHidden/>
    <w:unhideWhenUsed/>
    <w:rsid w:val="00236754"/>
    <w:rPr>
      <w:sz w:val="16"/>
      <w:szCs w:val="16"/>
    </w:rPr>
  </w:style>
  <w:style w:type="paragraph" w:styleId="Textocomentario">
    <w:name w:val="annotation text"/>
    <w:basedOn w:val="Normal"/>
    <w:link w:val="TextocomentarioCar"/>
    <w:uiPriority w:val="99"/>
    <w:unhideWhenUsed/>
    <w:rsid w:val="00236754"/>
    <w:pPr>
      <w:spacing w:line="240" w:lineRule="auto"/>
    </w:pPr>
    <w:rPr>
      <w:sz w:val="20"/>
      <w:szCs w:val="20"/>
    </w:rPr>
  </w:style>
  <w:style w:type="character" w:customStyle="1" w:styleId="TextocomentarioCar">
    <w:name w:val="Texto comentario Car"/>
    <w:basedOn w:val="Fuentedeprrafopredeter"/>
    <w:link w:val="Textocomentario"/>
    <w:uiPriority w:val="99"/>
    <w:rsid w:val="00236754"/>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236754"/>
    <w:rPr>
      <w:b/>
      <w:bCs/>
    </w:rPr>
  </w:style>
  <w:style w:type="character" w:customStyle="1" w:styleId="AsuntodelcomentarioCar">
    <w:name w:val="Asunto del comentario Car"/>
    <w:basedOn w:val="TextocomentarioCar"/>
    <w:link w:val="Asuntodelcomentario"/>
    <w:uiPriority w:val="99"/>
    <w:semiHidden/>
    <w:rsid w:val="0023675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Jose</dc:creator>
  <cp:keywords/>
  <dc:description/>
  <cp:lastModifiedBy>Eliana Di Jorgi Menche</cp:lastModifiedBy>
  <cp:revision>4</cp:revision>
  <dcterms:created xsi:type="dcterms:W3CDTF">2026-01-21T14:04:00Z</dcterms:created>
  <dcterms:modified xsi:type="dcterms:W3CDTF">2026-01-23T01:41:00Z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3589228f-42f7-4563-8ca3-fdbd16231d45</vt:lpwstr>
  </property>
</Properties>
</file>