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C2AB" w14:textId="77777777" w:rsidR="00A729D7" w:rsidRPr="00153DAB" w:rsidRDefault="00A729D7" w:rsidP="00A729D7">
      <w:pPr>
        <w:pStyle w:val="Heading3"/>
        <w:spacing w:before="0" w:line="240" w:lineRule="auto"/>
        <w:rPr>
          <w:rFonts w:asciiTheme="majorHAnsi" w:hAnsiTheme="majorHAnsi"/>
          <w:b/>
          <w:bCs/>
          <w:sz w:val="22"/>
          <w:szCs w:val="22"/>
        </w:rPr>
      </w:pPr>
      <w:r w:rsidRPr="00153DAB">
        <w:rPr>
          <w:rFonts w:asciiTheme="majorHAnsi" w:hAnsiTheme="majorHAnsi"/>
          <w:b/>
          <w:bCs/>
          <w:sz w:val="22"/>
          <w:szCs w:val="22"/>
        </w:rPr>
        <w:t>If county coverage changes in the SPIL, will Part C funding change?</w:t>
      </w:r>
    </w:p>
    <w:p w14:paraId="0FD9FC95" w14:textId="62492F4E" w:rsidR="00A729D7" w:rsidRPr="00A24742" w:rsidRDefault="00A729D7" w:rsidP="00A729D7">
      <w:pPr>
        <w:spacing w:line="240" w:lineRule="auto"/>
        <w:rPr>
          <w:rFonts w:ascii="Aptos" w:hAnsi="Aptos"/>
        </w:rPr>
      </w:pPr>
      <w:r w:rsidRPr="00A24742">
        <w:rPr>
          <w:rFonts w:ascii="Aptos" w:hAnsi="Aptos"/>
        </w:rPr>
        <w:t>Changing counties in the SPIL may affect Part B allocations, but it does not change who receives Part C federal grants</w:t>
      </w:r>
      <w:r w:rsidR="002B3C2C">
        <w:rPr>
          <w:rFonts w:ascii="Aptos" w:hAnsi="Aptos"/>
        </w:rPr>
        <w:t xml:space="preserve"> or the amount received</w:t>
      </w:r>
      <w:r w:rsidRPr="00A24742">
        <w:rPr>
          <w:rFonts w:ascii="Aptos" w:hAnsi="Aptos"/>
        </w:rPr>
        <w:t>. Part C funding is awarded directly to Centers for Independent Living (CILs) and does not shift based on</w:t>
      </w:r>
      <w:r w:rsidR="002B3C2C">
        <w:rPr>
          <w:rFonts w:ascii="Aptos" w:hAnsi="Aptos"/>
        </w:rPr>
        <w:t xml:space="preserve"> how the</w:t>
      </w:r>
      <w:r w:rsidRPr="00A24742">
        <w:rPr>
          <w:rFonts w:ascii="Aptos" w:hAnsi="Aptos"/>
        </w:rPr>
        <w:t xml:space="preserve"> SPIL </w:t>
      </w:r>
      <w:r w:rsidR="002B3C2C">
        <w:rPr>
          <w:rFonts w:ascii="Aptos" w:hAnsi="Aptos"/>
        </w:rPr>
        <w:t xml:space="preserve">designates </w:t>
      </w:r>
      <w:r w:rsidRPr="00A24742">
        <w:rPr>
          <w:rFonts w:ascii="Aptos" w:hAnsi="Aptos"/>
        </w:rPr>
        <w:t xml:space="preserve">county </w:t>
      </w:r>
      <w:r w:rsidR="002B3C2C">
        <w:rPr>
          <w:rFonts w:ascii="Aptos" w:hAnsi="Aptos"/>
        </w:rPr>
        <w:t>coverage for the CILs</w:t>
      </w:r>
      <w:r w:rsidRPr="00A24742">
        <w:rPr>
          <w:rFonts w:ascii="Aptos" w:hAnsi="Aptos"/>
        </w:rPr>
        <w:t>.</w:t>
      </w:r>
    </w:p>
    <w:p w14:paraId="38BB872B"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What does “improper” reimbursement mean under DSE Assurances Item 2a?</w:t>
      </w:r>
    </w:p>
    <w:p w14:paraId="0D3D4874" w14:textId="432EBD29" w:rsidR="00A729D7" w:rsidRPr="00A24742" w:rsidRDefault="00A729D7" w:rsidP="003057F6">
      <w:pPr>
        <w:spacing w:line="240" w:lineRule="auto"/>
        <w:rPr>
          <w:rFonts w:ascii="Aptos" w:hAnsi="Aptos"/>
        </w:rPr>
      </w:pPr>
      <w:r w:rsidRPr="00A24742">
        <w:rPr>
          <w:rFonts w:ascii="Aptos" w:hAnsi="Aptos"/>
        </w:rPr>
        <w:t xml:space="preserve">The term is not specifically defined in the regulation. In practice, it usually refers to non-allowable expenses (such as lobbying instead of allowable advocacy) or costs that are not properly allocated </w:t>
      </w:r>
      <w:r w:rsidR="00806F60">
        <w:rPr>
          <w:rFonts w:ascii="Aptos" w:hAnsi="Aptos"/>
        </w:rPr>
        <w:t xml:space="preserve">or charged correctly </w:t>
      </w:r>
      <w:r w:rsidRPr="00A24742">
        <w:rPr>
          <w:rFonts w:ascii="Aptos" w:hAnsi="Aptos"/>
        </w:rPr>
        <w:t xml:space="preserve">across funding sources, including indirect costs. </w:t>
      </w:r>
      <w:r w:rsidR="00806F60" w:rsidRPr="00806F60">
        <w:t xml:space="preserve">  This can include costs that are unallowable, not properly documented, charged more than once, incorrectly shared across funding sources, incurred outside the grant period, or not approved in the budget or scope of work. Under federal rules (2 CFR 200), the DSE must make sure CILs follow these requirements and must address any improper costs that are identified.</w:t>
      </w:r>
    </w:p>
    <w:p w14:paraId="031136BA"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What options do CILs have if their DSE is not acting in their best interest?</w:t>
      </w:r>
    </w:p>
    <w:p w14:paraId="2FA4D35C" w14:textId="77CBAB85" w:rsidR="008A0914" w:rsidRPr="008A0914" w:rsidRDefault="008A0914" w:rsidP="008A0914">
      <w:pPr>
        <w:spacing w:line="240" w:lineRule="auto"/>
        <w:rPr>
          <w:rFonts w:ascii="Aptos" w:hAnsi="Aptos"/>
        </w:rPr>
      </w:pPr>
      <w:r w:rsidRPr="008A0914">
        <w:rPr>
          <w:rFonts w:ascii="Aptos" w:hAnsi="Aptos"/>
        </w:rPr>
        <w:t>CILs should first document their concerns and contact their ACL Program Officer. Engaging the IL Technical Assistance and Training (T&amp;TA) Center can also help the network understand federal requirements, clarify roles, and explore options for resolving issues. The Statewide Independent Living Council (SILC) may also serve as an intermediary to help facilitate discussions with the DSE and the network.</w:t>
      </w:r>
      <w:r w:rsidR="00C35BBE">
        <w:rPr>
          <w:rFonts w:ascii="Aptos" w:hAnsi="Aptos"/>
        </w:rPr>
        <w:t xml:space="preserve"> </w:t>
      </w:r>
      <w:r w:rsidRPr="008A0914">
        <w:rPr>
          <w:rFonts w:ascii="Aptos" w:hAnsi="Aptos"/>
        </w:rPr>
        <w:t>In many cases, concerns can be addressed through technical assistance, corrective actions, or improved coordination without changing the DSE. If issues involve potential noncompliance with federal requirements, ACL may engage directly with the DSE as part of its oversight role.</w:t>
      </w:r>
    </w:p>
    <w:p w14:paraId="432A212F" w14:textId="76B204A5" w:rsidR="0065003B" w:rsidRDefault="008A0914" w:rsidP="0065003B">
      <w:pPr>
        <w:spacing w:line="240" w:lineRule="auto"/>
        <w:rPr>
          <w:rFonts w:ascii="Aptos" w:hAnsi="Aptos"/>
        </w:rPr>
      </w:pPr>
      <w:r w:rsidRPr="008A0914">
        <w:rPr>
          <w:rFonts w:ascii="Aptos" w:hAnsi="Aptos"/>
        </w:rPr>
        <w:t xml:space="preserve">If concerns cannot be resolved, the state IL network may choose to change its </w:t>
      </w:r>
      <w:r w:rsidR="00D729AF">
        <w:rPr>
          <w:rFonts w:ascii="Aptos" w:hAnsi="Aptos"/>
        </w:rPr>
        <w:t>DSE</w:t>
      </w:r>
      <w:r w:rsidRPr="008A0914">
        <w:rPr>
          <w:rFonts w:ascii="Aptos" w:hAnsi="Aptos"/>
        </w:rPr>
        <w:t>.</w:t>
      </w:r>
      <w:r w:rsidR="00A729D7" w:rsidRPr="00A24742">
        <w:rPr>
          <w:rFonts w:ascii="Aptos" w:hAnsi="Aptos"/>
        </w:rPr>
        <w:t xml:space="preserve">, typically at the end of a SPIL cycle through the next SPIL, which requires at least 51% of CILs to sign. Earlier changes are possible but </w:t>
      </w:r>
      <w:r w:rsidR="002B3C2C">
        <w:rPr>
          <w:rFonts w:ascii="Aptos" w:hAnsi="Aptos"/>
        </w:rPr>
        <w:t xml:space="preserve">require an amended SPIL, including notices and public hearings, which can be </w:t>
      </w:r>
      <w:r w:rsidR="00A729D7" w:rsidRPr="00A24742">
        <w:rPr>
          <w:rFonts w:ascii="Aptos" w:hAnsi="Aptos"/>
        </w:rPr>
        <w:t xml:space="preserve">complex and time-consuming. </w:t>
      </w:r>
      <w:r w:rsidR="002B3C2C">
        <w:rPr>
          <w:rFonts w:ascii="Aptos" w:hAnsi="Aptos"/>
        </w:rPr>
        <w:t>As the network approaches other state agencies to fill the DSE role, they</w:t>
      </w:r>
      <w:r w:rsidR="00A729D7" w:rsidRPr="00A24742">
        <w:rPr>
          <w:rFonts w:ascii="Aptos" w:hAnsi="Aptos"/>
        </w:rPr>
        <w:t xml:space="preserve"> should consider potential funding impacts</w:t>
      </w:r>
      <w:r w:rsidR="002B3C2C">
        <w:rPr>
          <w:rFonts w:ascii="Aptos" w:hAnsi="Aptos"/>
        </w:rPr>
        <w:t xml:space="preserve"> such as the loss of I and E funds and Social Security Reimbursement funds. (While the department of rehabilitation may continue issuing those funds even if they aren’t the DSE, it is unlikely.)</w:t>
      </w:r>
      <w:r w:rsidR="002B3C2C" w:rsidRPr="00A24742">
        <w:rPr>
          <w:rFonts w:ascii="Aptos" w:hAnsi="Aptos"/>
        </w:rPr>
        <w:t xml:space="preserve"> </w:t>
      </w:r>
    </w:p>
    <w:p w14:paraId="666F85FD" w14:textId="1ABF97AA" w:rsidR="00A729D7" w:rsidRPr="00153DAB" w:rsidRDefault="00A729D7" w:rsidP="0065003B">
      <w:pPr>
        <w:spacing w:line="240" w:lineRule="auto"/>
        <w:rPr>
          <w:rFonts w:ascii="Aptos" w:hAnsi="Aptos"/>
          <w:b/>
          <w:bCs/>
        </w:rPr>
      </w:pPr>
      <w:r w:rsidRPr="00153DAB">
        <w:rPr>
          <w:rFonts w:ascii="Aptos" w:hAnsi="Aptos"/>
          <w:b/>
          <w:bCs/>
        </w:rPr>
        <w:t>Why does the CIL PPR portal not match the official instrument numbering?</w:t>
      </w:r>
    </w:p>
    <w:p w14:paraId="5F742408" w14:textId="0CB8311A" w:rsidR="00A729D7" w:rsidRPr="00A24742" w:rsidRDefault="00A729D7" w:rsidP="00A729D7">
      <w:pPr>
        <w:spacing w:line="240" w:lineRule="auto"/>
        <w:rPr>
          <w:rFonts w:ascii="Aptos" w:hAnsi="Aptos"/>
        </w:rPr>
      </w:pPr>
      <w:r w:rsidRPr="00A24742">
        <w:rPr>
          <w:rFonts w:ascii="Aptos" w:hAnsi="Aptos"/>
        </w:rPr>
        <w:t>This is due to a historical mismatch from earlier reporting systems that changed the structure without updating the instrument. The current portal structure should be treated as the official submission format until updates are finalized</w:t>
      </w:r>
      <w:r w:rsidR="002B3C2C">
        <w:rPr>
          <w:rFonts w:ascii="Aptos" w:hAnsi="Aptos"/>
        </w:rPr>
        <w:t xml:space="preserve"> and implemented</w:t>
      </w:r>
      <w:r w:rsidRPr="00A24742">
        <w:rPr>
          <w:rFonts w:ascii="Aptos" w:hAnsi="Aptos"/>
        </w:rPr>
        <w:t>.</w:t>
      </w:r>
    </w:p>
    <w:p w14:paraId="1EB78CB8"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 xml:space="preserve">Can consumer eligibility forms be </w:t>
      </w:r>
      <w:proofErr w:type="gramStart"/>
      <w:r w:rsidRPr="00153DAB">
        <w:rPr>
          <w:rFonts w:ascii="Aptos" w:hAnsi="Aptos"/>
          <w:b/>
          <w:bCs/>
          <w:sz w:val="22"/>
          <w:szCs w:val="22"/>
        </w:rPr>
        <w:t>reworded</w:t>
      </w:r>
      <w:proofErr w:type="gramEnd"/>
      <w:r w:rsidRPr="00153DAB">
        <w:rPr>
          <w:rFonts w:ascii="Aptos" w:hAnsi="Aptos"/>
          <w:b/>
          <w:bCs/>
          <w:sz w:val="22"/>
          <w:szCs w:val="22"/>
        </w:rPr>
        <w:t>?</w:t>
      </w:r>
    </w:p>
    <w:p w14:paraId="029E1EBA" w14:textId="1F16A98A" w:rsidR="00A729D7" w:rsidRPr="00A24742" w:rsidRDefault="00A729D7" w:rsidP="00A729D7">
      <w:pPr>
        <w:spacing w:line="240" w:lineRule="auto"/>
        <w:rPr>
          <w:rFonts w:ascii="Aptos" w:hAnsi="Aptos"/>
        </w:rPr>
      </w:pPr>
      <w:r w:rsidRPr="00A24742">
        <w:rPr>
          <w:rFonts w:ascii="Aptos" w:hAnsi="Aptos"/>
        </w:rPr>
        <w:t>Yes. Consumer eligibility forms are local and not federally prescribed. Eligibility is met when an individual self-identifies as having a disability.</w:t>
      </w:r>
      <w:r w:rsidR="0065003B">
        <w:rPr>
          <w:rFonts w:ascii="Aptos" w:hAnsi="Aptos"/>
        </w:rPr>
        <w:t xml:space="preserve"> </w:t>
      </w:r>
      <w:r w:rsidR="00236754">
        <w:rPr>
          <w:rFonts w:ascii="Aptos" w:hAnsi="Aptos"/>
        </w:rPr>
        <w:t>Technically</w:t>
      </w:r>
      <w:r w:rsidR="0065003B">
        <w:rPr>
          <w:rFonts w:ascii="Aptos" w:hAnsi="Aptos"/>
        </w:rPr>
        <w:t>, the law uses the term “significant disability,” but that language can be confusing and create an unnecessary barrier for individuals who struggle with the word “significant.”</w:t>
      </w:r>
      <w:r w:rsidR="00236754">
        <w:rPr>
          <w:rFonts w:ascii="Aptos" w:hAnsi="Aptos"/>
        </w:rPr>
        <w:t xml:space="preserve"> </w:t>
      </w:r>
    </w:p>
    <w:p w14:paraId="715B0476"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lastRenderedPageBreak/>
        <w:t>How are small or rural centers supported when capacity is limited?</w:t>
      </w:r>
    </w:p>
    <w:p w14:paraId="4BC70C41" w14:textId="4779E412" w:rsidR="00A729D7" w:rsidRPr="00A24742" w:rsidRDefault="00A729D7" w:rsidP="00A729D7">
      <w:pPr>
        <w:spacing w:line="240" w:lineRule="auto"/>
        <w:rPr>
          <w:rFonts w:ascii="Aptos" w:hAnsi="Aptos"/>
        </w:rPr>
      </w:pPr>
      <w:r w:rsidRPr="00A24742">
        <w:rPr>
          <w:rFonts w:ascii="Aptos" w:hAnsi="Aptos"/>
        </w:rPr>
        <w:t xml:space="preserve">Capacity challenges are recognized but not addressed through the PPR or compliance process. </w:t>
      </w:r>
      <w:r w:rsidR="00236754">
        <w:rPr>
          <w:rFonts w:ascii="Aptos" w:hAnsi="Aptos"/>
        </w:rPr>
        <w:t xml:space="preserve">The Center should note its concerns in its PPR narratives and work </w:t>
      </w:r>
      <w:proofErr w:type="gramStart"/>
      <w:r w:rsidR="00236754">
        <w:rPr>
          <w:rFonts w:ascii="Aptos" w:hAnsi="Aptos"/>
        </w:rPr>
        <w:t>plan, and</w:t>
      </w:r>
      <w:proofErr w:type="gramEnd"/>
      <w:r w:rsidR="00236754">
        <w:rPr>
          <w:rFonts w:ascii="Aptos" w:hAnsi="Aptos"/>
        </w:rPr>
        <w:t xml:space="preserve"> </w:t>
      </w:r>
      <w:r w:rsidRPr="00A24742">
        <w:rPr>
          <w:rFonts w:ascii="Aptos" w:hAnsi="Aptos"/>
        </w:rPr>
        <w:t>should request Technical Assistance and engage program officers for additional support.</w:t>
      </w:r>
    </w:p>
    <w:p w14:paraId="40E46044"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Should centers run sample PPRs during the year?</w:t>
      </w:r>
    </w:p>
    <w:p w14:paraId="144DDA70" w14:textId="42C0B277" w:rsidR="00A729D7" w:rsidRPr="00A24742" w:rsidRDefault="00A729D7" w:rsidP="00A729D7">
      <w:pPr>
        <w:spacing w:line="240" w:lineRule="auto"/>
        <w:rPr>
          <w:rFonts w:ascii="Aptos" w:hAnsi="Aptos"/>
        </w:rPr>
      </w:pPr>
      <w:r w:rsidRPr="00A24742">
        <w:rPr>
          <w:rFonts w:ascii="Aptos" w:hAnsi="Aptos"/>
        </w:rPr>
        <w:t xml:space="preserve">Yes. Running sample </w:t>
      </w:r>
      <w:proofErr w:type="gramStart"/>
      <w:r w:rsidRPr="00A24742">
        <w:rPr>
          <w:rFonts w:ascii="Aptos" w:hAnsi="Aptos"/>
        </w:rPr>
        <w:t>PPRs early—</w:t>
      </w:r>
      <w:proofErr w:type="gramEnd"/>
      <w:r w:rsidRPr="00A24742">
        <w:rPr>
          <w:rFonts w:ascii="Aptos" w:hAnsi="Aptos"/>
        </w:rPr>
        <w:t xml:space="preserve">especially after the first </w:t>
      </w:r>
      <w:proofErr w:type="gramStart"/>
      <w:r w:rsidRPr="00A24742">
        <w:rPr>
          <w:rFonts w:ascii="Aptos" w:hAnsi="Aptos"/>
        </w:rPr>
        <w:t>quarter—</w:t>
      </w:r>
      <w:proofErr w:type="gramEnd"/>
      <w:r w:rsidRPr="00A24742">
        <w:rPr>
          <w:rFonts w:ascii="Aptos" w:hAnsi="Aptos"/>
        </w:rPr>
        <w:t>helps identify missing or incorrect data before year-end reporting.</w:t>
      </w:r>
      <w:r w:rsidR="00236754">
        <w:rPr>
          <w:rFonts w:ascii="Aptos" w:hAnsi="Aptos"/>
        </w:rPr>
        <w:t xml:space="preserve"> Checking the accuracy and completeness of your data is always a good idea!</w:t>
      </w:r>
    </w:p>
    <w:p w14:paraId="09C1A3FA"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Do centers need to submit multiple PPRs if they have multiple grants?</w:t>
      </w:r>
    </w:p>
    <w:p w14:paraId="64BC6484" w14:textId="7BBB4ADC" w:rsidR="00A729D7" w:rsidRPr="00A24742" w:rsidRDefault="00A729D7" w:rsidP="00A729D7">
      <w:pPr>
        <w:spacing w:line="240" w:lineRule="auto"/>
        <w:rPr>
          <w:rFonts w:ascii="Aptos" w:hAnsi="Aptos"/>
        </w:rPr>
      </w:pPr>
      <w:r w:rsidRPr="00A24742">
        <w:rPr>
          <w:rFonts w:ascii="Aptos" w:hAnsi="Aptos"/>
        </w:rPr>
        <w:t>No</w:t>
      </w:r>
      <w:r w:rsidR="002E7E27">
        <w:rPr>
          <w:rFonts w:ascii="Aptos" w:hAnsi="Aptos"/>
        </w:rPr>
        <w:t xml:space="preserve">t </w:t>
      </w:r>
      <w:proofErr w:type="spellStart"/>
      <w:proofErr w:type="gramStart"/>
      <w:r w:rsidR="002E7E27">
        <w:rPr>
          <w:rFonts w:ascii="Aptos" w:hAnsi="Aptos"/>
        </w:rPr>
        <w:t>any more</w:t>
      </w:r>
      <w:proofErr w:type="spellEnd"/>
      <w:proofErr w:type="gramEnd"/>
      <w:r w:rsidRPr="00A24742">
        <w:rPr>
          <w:rFonts w:ascii="Aptos" w:hAnsi="Aptos"/>
        </w:rPr>
        <w:t>. Centers</w:t>
      </w:r>
      <w:r w:rsidR="002E7E27">
        <w:rPr>
          <w:rFonts w:ascii="Aptos" w:hAnsi="Aptos"/>
        </w:rPr>
        <w:t xml:space="preserve"> will now</w:t>
      </w:r>
      <w:r w:rsidRPr="00A24742">
        <w:rPr>
          <w:rFonts w:ascii="Aptos" w:hAnsi="Aptos"/>
        </w:rPr>
        <w:t xml:space="preserve"> submit one consolidated PPR that includes all grants.</w:t>
      </w:r>
    </w:p>
    <w:p w14:paraId="2A690CB9"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Are SILCs notified if a CIL does not submit its PPR?</w:t>
      </w:r>
    </w:p>
    <w:p w14:paraId="1B19D6D9" w14:textId="77777777" w:rsidR="00A729D7" w:rsidRPr="00A24742" w:rsidRDefault="00A729D7" w:rsidP="00A729D7">
      <w:pPr>
        <w:spacing w:line="240" w:lineRule="auto"/>
        <w:rPr>
          <w:rFonts w:ascii="Aptos" w:hAnsi="Aptos"/>
        </w:rPr>
      </w:pPr>
      <w:r w:rsidRPr="00A24742">
        <w:rPr>
          <w:rFonts w:ascii="Aptos" w:hAnsi="Aptos"/>
        </w:rPr>
        <w:t>No. There is no automatic notification. CILs are required to provide a copy of their PPR to the SILC.</w:t>
      </w:r>
    </w:p>
    <w:p w14:paraId="0E0B1558"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What is Title VII Chapter 2 funding?</w:t>
      </w:r>
    </w:p>
    <w:p w14:paraId="5A3E8F4F" w14:textId="4B711FBA" w:rsidR="00A729D7" w:rsidRPr="00A24742" w:rsidRDefault="00A729D7" w:rsidP="00A729D7">
      <w:pPr>
        <w:spacing w:line="240" w:lineRule="auto"/>
        <w:rPr>
          <w:rFonts w:ascii="Aptos" w:hAnsi="Aptos"/>
        </w:rPr>
      </w:pPr>
      <w:r w:rsidRPr="00A24742">
        <w:rPr>
          <w:rFonts w:ascii="Aptos" w:hAnsi="Aptos"/>
        </w:rPr>
        <w:t>This funding supports Independent Living services for older individuals who are blind. Centers should understand how it operates within their state.</w:t>
      </w:r>
      <w:r w:rsidR="002E7E27">
        <w:rPr>
          <w:rFonts w:ascii="Aptos" w:hAnsi="Aptos"/>
        </w:rPr>
        <w:t xml:space="preserve"> While most centers do not access this funding, they may be eligible to do so. </w:t>
      </w:r>
    </w:p>
    <w:p w14:paraId="2D0CA856" w14:textId="77777777" w:rsidR="00A729D7" w:rsidRPr="00153DAB" w:rsidRDefault="00A729D7" w:rsidP="00A729D7">
      <w:pPr>
        <w:pStyle w:val="Heading3"/>
        <w:spacing w:before="0" w:line="240" w:lineRule="auto"/>
        <w:rPr>
          <w:rFonts w:ascii="Aptos" w:hAnsi="Aptos"/>
          <w:b/>
          <w:bCs/>
          <w:sz w:val="22"/>
          <w:szCs w:val="22"/>
        </w:rPr>
      </w:pPr>
      <w:r w:rsidRPr="00153DAB">
        <w:rPr>
          <w:rFonts w:ascii="Aptos" w:hAnsi="Aptos"/>
          <w:b/>
          <w:bCs/>
          <w:sz w:val="22"/>
          <w:szCs w:val="22"/>
        </w:rPr>
        <w:t>Where can centers find new training resources?</w:t>
      </w:r>
    </w:p>
    <w:p w14:paraId="2C8C145A" w14:textId="5D970915" w:rsidR="00153DAB" w:rsidRPr="00A729D7" w:rsidRDefault="00A729D7" w:rsidP="00A729D7">
      <w:pPr>
        <w:spacing w:line="240" w:lineRule="auto"/>
        <w:rPr>
          <w:rFonts w:ascii="Aptos" w:hAnsi="Aptos"/>
        </w:rPr>
      </w:pPr>
      <w:r w:rsidRPr="00A24742">
        <w:rPr>
          <w:rFonts w:ascii="Aptos" w:hAnsi="Aptos"/>
        </w:rPr>
        <w:t>New e-courses and training resources are available on the IL T&amp;TA Center website, including event registrations</w:t>
      </w:r>
      <w:r w:rsidR="002E7E27">
        <w:rPr>
          <w:rFonts w:ascii="Aptos" w:hAnsi="Aptos"/>
        </w:rPr>
        <w:t xml:space="preserve">, e-courses, archived resources, and </w:t>
      </w:r>
      <w:r w:rsidRPr="00A24742">
        <w:rPr>
          <w:rFonts w:ascii="Aptos" w:hAnsi="Aptos"/>
        </w:rPr>
        <w:t>technical assistance information.</w:t>
      </w:r>
    </w:p>
    <w:sectPr w:rsidR="00153DAB" w:rsidRPr="00A729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E491" w14:textId="77777777" w:rsidR="005317A2" w:rsidRDefault="005317A2" w:rsidP="003B3186">
      <w:pPr>
        <w:spacing w:after="0" w:line="240" w:lineRule="auto"/>
      </w:pPr>
      <w:r>
        <w:separator/>
      </w:r>
    </w:p>
  </w:endnote>
  <w:endnote w:type="continuationSeparator" w:id="0">
    <w:p w14:paraId="30A84366" w14:textId="77777777" w:rsidR="005317A2" w:rsidRDefault="005317A2" w:rsidP="003B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B720" w14:textId="77777777" w:rsidR="005317A2" w:rsidRDefault="005317A2" w:rsidP="003B3186">
      <w:pPr>
        <w:spacing w:after="0" w:line="240" w:lineRule="auto"/>
      </w:pPr>
      <w:r>
        <w:separator/>
      </w:r>
    </w:p>
  </w:footnote>
  <w:footnote w:type="continuationSeparator" w:id="0">
    <w:p w14:paraId="33DE6929" w14:textId="77777777" w:rsidR="005317A2" w:rsidRDefault="005317A2" w:rsidP="003B3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34EC" w14:textId="5FAB83F8" w:rsidR="00464AA1" w:rsidRDefault="00464AA1">
    <w:pPr>
      <w:pStyle w:val="Header"/>
      <w:rPr>
        <w:rFonts w:asciiTheme="majorHAnsi" w:hAnsiTheme="majorHAnsi"/>
      </w:rPr>
    </w:pPr>
    <w:r>
      <w:rPr>
        <w:rFonts w:asciiTheme="majorHAnsi" w:hAnsiTheme="majorHAnsi"/>
      </w:rPr>
      <w:t>Centers for Independent Living (CIL)</w:t>
    </w:r>
  </w:p>
  <w:p w14:paraId="21E21960" w14:textId="6FEB4015" w:rsidR="00153DAB" w:rsidRPr="00464AA1" w:rsidRDefault="00464AA1">
    <w:pPr>
      <w:pStyle w:val="Header"/>
      <w:rPr>
        <w:rFonts w:asciiTheme="majorHAnsi" w:hAnsiTheme="majorHAnsi"/>
      </w:rPr>
    </w:pPr>
    <w:r>
      <w:rPr>
        <w:rFonts w:asciiTheme="majorHAnsi" w:hAnsiTheme="majorHAnsi"/>
      </w:rPr>
      <w:t xml:space="preserve">Program Performance Report (PPR) </w:t>
    </w:r>
    <w:r w:rsidR="003B3186" w:rsidRPr="00153DAB">
      <w:rPr>
        <w:rFonts w:asciiTheme="majorHAnsi" w:hAnsiTheme="majorHAnsi"/>
      </w:rPr>
      <w:t>Questions &amp;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693"/>
    <w:multiLevelType w:val="multilevel"/>
    <w:tmpl w:val="35F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C2C"/>
    <w:multiLevelType w:val="multilevel"/>
    <w:tmpl w:val="E300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83335"/>
    <w:multiLevelType w:val="multilevel"/>
    <w:tmpl w:val="52E0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556B6"/>
    <w:multiLevelType w:val="multilevel"/>
    <w:tmpl w:val="A7D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6238F"/>
    <w:multiLevelType w:val="multilevel"/>
    <w:tmpl w:val="E17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C4CCD"/>
    <w:multiLevelType w:val="multilevel"/>
    <w:tmpl w:val="2D9C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F5A56"/>
    <w:multiLevelType w:val="multilevel"/>
    <w:tmpl w:val="D65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74987"/>
    <w:multiLevelType w:val="multilevel"/>
    <w:tmpl w:val="E9C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57DA7"/>
    <w:multiLevelType w:val="multilevel"/>
    <w:tmpl w:val="9FC2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A5BC6"/>
    <w:multiLevelType w:val="multilevel"/>
    <w:tmpl w:val="F61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40230"/>
    <w:multiLevelType w:val="multilevel"/>
    <w:tmpl w:val="1696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84FB0"/>
    <w:multiLevelType w:val="multilevel"/>
    <w:tmpl w:val="900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87729">
    <w:abstractNumId w:val="9"/>
  </w:num>
  <w:num w:numId="2" w16cid:durableId="1743403619">
    <w:abstractNumId w:val="0"/>
  </w:num>
  <w:num w:numId="3" w16cid:durableId="810899423">
    <w:abstractNumId w:val="1"/>
  </w:num>
  <w:num w:numId="4" w16cid:durableId="1901747989">
    <w:abstractNumId w:val="4"/>
  </w:num>
  <w:num w:numId="5" w16cid:durableId="746420594">
    <w:abstractNumId w:val="11"/>
  </w:num>
  <w:num w:numId="6" w16cid:durableId="264769141">
    <w:abstractNumId w:val="6"/>
  </w:num>
  <w:num w:numId="7" w16cid:durableId="1772505991">
    <w:abstractNumId w:val="7"/>
  </w:num>
  <w:num w:numId="8" w16cid:durableId="375156291">
    <w:abstractNumId w:val="5"/>
  </w:num>
  <w:num w:numId="9" w16cid:durableId="885264956">
    <w:abstractNumId w:val="8"/>
  </w:num>
  <w:num w:numId="10" w16cid:durableId="525293931">
    <w:abstractNumId w:val="3"/>
  </w:num>
  <w:num w:numId="11" w16cid:durableId="1140150096">
    <w:abstractNumId w:val="10"/>
  </w:num>
  <w:num w:numId="12" w16cid:durableId="25166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7C"/>
    <w:rsid w:val="00007F9F"/>
    <w:rsid w:val="000739FA"/>
    <w:rsid w:val="00082141"/>
    <w:rsid w:val="00102E07"/>
    <w:rsid w:val="00110CE2"/>
    <w:rsid w:val="00153DAB"/>
    <w:rsid w:val="00166A75"/>
    <w:rsid w:val="00236754"/>
    <w:rsid w:val="00283C3F"/>
    <w:rsid w:val="002B3C2C"/>
    <w:rsid w:val="002E7E27"/>
    <w:rsid w:val="003057F6"/>
    <w:rsid w:val="00320461"/>
    <w:rsid w:val="00365FB9"/>
    <w:rsid w:val="003B3186"/>
    <w:rsid w:val="004138B0"/>
    <w:rsid w:val="0045497F"/>
    <w:rsid w:val="00464AA1"/>
    <w:rsid w:val="005317A2"/>
    <w:rsid w:val="005C464E"/>
    <w:rsid w:val="00625E71"/>
    <w:rsid w:val="0065003B"/>
    <w:rsid w:val="00661823"/>
    <w:rsid w:val="00720A11"/>
    <w:rsid w:val="0073717C"/>
    <w:rsid w:val="007A38D2"/>
    <w:rsid w:val="007F235F"/>
    <w:rsid w:val="00806F60"/>
    <w:rsid w:val="008A0914"/>
    <w:rsid w:val="008F5FB7"/>
    <w:rsid w:val="00A729D7"/>
    <w:rsid w:val="00A976C7"/>
    <w:rsid w:val="00AB4925"/>
    <w:rsid w:val="00B9199F"/>
    <w:rsid w:val="00BD1E6E"/>
    <w:rsid w:val="00C35BBE"/>
    <w:rsid w:val="00C76F13"/>
    <w:rsid w:val="00D00679"/>
    <w:rsid w:val="00D3176C"/>
    <w:rsid w:val="00D729AF"/>
    <w:rsid w:val="00D754C2"/>
    <w:rsid w:val="00D8102D"/>
    <w:rsid w:val="00D842DB"/>
    <w:rsid w:val="00DD6037"/>
    <w:rsid w:val="00E85A4A"/>
    <w:rsid w:val="00E93A9C"/>
    <w:rsid w:val="00FC09E3"/>
    <w:rsid w:val="00FC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A8D0"/>
  <w15:chartTrackingRefBased/>
  <w15:docId w15:val="{F0916CC7-9AB2-4D8B-9B5B-BCB1D3F9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D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371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371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3717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717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717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717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717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717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717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7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7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7C"/>
    <w:rPr>
      <w:rFonts w:eastAsiaTheme="majorEastAsia" w:cstheme="majorBidi"/>
      <w:color w:val="272727" w:themeColor="text1" w:themeTint="D8"/>
    </w:rPr>
  </w:style>
  <w:style w:type="paragraph" w:styleId="Title">
    <w:name w:val="Title"/>
    <w:basedOn w:val="Normal"/>
    <w:next w:val="Normal"/>
    <w:link w:val="TitleChar"/>
    <w:uiPriority w:val="10"/>
    <w:qFormat/>
    <w:rsid w:val="007371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7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7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7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7C"/>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717C"/>
    <w:rPr>
      <w:i/>
      <w:iCs/>
      <w:color w:val="404040" w:themeColor="text1" w:themeTint="BF"/>
    </w:rPr>
  </w:style>
  <w:style w:type="paragraph" w:styleId="ListParagraph">
    <w:name w:val="List Paragraph"/>
    <w:basedOn w:val="Normal"/>
    <w:uiPriority w:val="34"/>
    <w:qFormat/>
    <w:rsid w:val="0073717C"/>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3717C"/>
    <w:rPr>
      <w:i/>
      <w:iCs/>
      <w:color w:val="0F4761" w:themeColor="accent1" w:themeShade="BF"/>
    </w:rPr>
  </w:style>
  <w:style w:type="paragraph" w:styleId="IntenseQuote">
    <w:name w:val="Intense Quote"/>
    <w:basedOn w:val="Normal"/>
    <w:next w:val="Normal"/>
    <w:link w:val="IntenseQuoteChar"/>
    <w:uiPriority w:val="30"/>
    <w:qFormat/>
    <w:rsid w:val="007371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717C"/>
    <w:rPr>
      <w:i/>
      <w:iCs/>
      <w:color w:val="0F4761" w:themeColor="accent1" w:themeShade="BF"/>
    </w:rPr>
  </w:style>
  <w:style w:type="character" w:styleId="IntenseReference">
    <w:name w:val="Intense Reference"/>
    <w:basedOn w:val="DefaultParagraphFont"/>
    <w:uiPriority w:val="32"/>
    <w:qFormat/>
    <w:rsid w:val="0073717C"/>
    <w:rPr>
      <w:b/>
      <w:bCs/>
      <w:smallCaps/>
      <w:color w:val="0F4761" w:themeColor="accent1" w:themeShade="BF"/>
      <w:spacing w:val="5"/>
    </w:rPr>
  </w:style>
  <w:style w:type="character" w:styleId="Hyperlink">
    <w:name w:val="Hyperlink"/>
    <w:basedOn w:val="DefaultParagraphFont"/>
    <w:uiPriority w:val="99"/>
    <w:unhideWhenUsed/>
    <w:rsid w:val="0073717C"/>
    <w:rPr>
      <w:color w:val="467886" w:themeColor="hyperlink"/>
      <w:u w:val="single"/>
    </w:rPr>
  </w:style>
  <w:style w:type="character" w:styleId="UnresolvedMention">
    <w:name w:val="Unresolved Mention"/>
    <w:basedOn w:val="DefaultParagraphFont"/>
    <w:uiPriority w:val="99"/>
    <w:semiHidden/>
    <w:unhideWhenUsed/>
    <w:rsid w:val="0073717C"/>
    <w:rPr>
      <w:color w:val="605E5C"/>
      <w:shd w:val="clear" w:color="auto" w:fill="E1DFDD"/>
    </w:rPr>
  </w:style>
  <w:style w:type="paragraph" w:styleId="Header">
    <w:name w:val="header"/>
    <w:basedOn w:val="Normal"/>
    <w:link w:val="HeaderChar"/>
    <w:uiPriority w:val="99"/>
    <w:unhideWhenUsed/>
    <w:rsid w:val="003B318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3B3186"/>
  </w:style>
  <w:style w:type="paragraph" w:styleId="Footer">
    <w:name w:val="footer"/>
    <w:basedOn w:val="Normal"/>
    <w:link w:val="FooterChar"/>
    <w:uiPriority w:val="99"/>
    <w:unhideWhenUsed/>
    <w:rsid w:val="003B318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3B3186"/>
  </w:style>
  <w:style w:type="paragraph" w:customStyle="1" w:styleId="p1">
    <w:name w:val="p1"/>
    <w:basedOn w:val="Normal"/>
    <w:rsid w:val="00153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153DAB"/>
  </w:style>
  <w:style w:type="paragraph" w:customStyle="1" w:styleId="p3">
    <w:name w:val="p3"/>
    <w:basedOn w:val="Normal"/>
    <w:rsid w:val="00153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153DAB"/>
  </w:style>
  <w:style w:type="paragraph" w:customStyle="1" w:styleId="p4">
    <w:name w:val="p4"/>
    <w:basedOn w:val="Normal"/>
    <w:rsid w:val="00153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153DAB"/>
  </w:style>
  <w:style w:type="paragraph" w:styleId="Revision">
    <w:name w:val="Revision"/>
    <w:hidden/>
    <w:uiPriority w:val="99"/>
    <w:semiHidden/>
    <w:rsid w:val="002B3C2C"/>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6754"/>
    <w:rPr>
      <w:sz w:val="16"/>
      <w:szCs w:val="16"/>
    </w:rPr>
  </w:style>
  <w:style w:type="paragraph" w:styleId="CommentText">
    <w:name w:val="annotation text"/>
    <w:basedOn w:val="Normal"/>
    <w:link w:val="CommentTextChar"/>
    <w:uiPriority w:val="99"/>
    <w:unhideWhenUsed/>
    <w:rsid w:val="00236754"/>
    <w:pPr>
      <w:spacing w:line="240" w:lineRule="auto"/>
    </w:pPr>
    <w:rPr>
      <w:sz w:val="20"/>
      <w:szCs w:val="20"/>
    </w:rPr>
  </w:style>
  <w:style w:type="character" w:customStyle="1" w:styleId="CommentTextChar">
    <w:name w:val="Comment Text Char"/>
    <w:basedOn w:val="DefaultParagraphFont"/>
    <w:link w:val="CommentText"/>
    <w:uiPriority w:val="99"/>
    <w:rsid w:val="00236754"/>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6754"/>
    <w:rPr>
      <w:b/>
      <w:bCs/>
    </w:rPr>
  </w:style>
  <w:style w:type="character" w:customStyle="1" w:styleId="CommentSubjectChar">
    <w:name w:val="Comment Subject Char"/>
    <w:basedOn w:val="CommentTextChar"/>
    <w:link w:val="CommentSubject"/>
    <w:uiPriority w:val="99"/>
    <w:semiHidden/>
    <w:rsid w:val="00236754"/>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Jose</dc:creator>
  <cp:keywords/>
  <dc:description/>
  <cp:lastModifiedBy>Morris, Tyler</cp:lastModifiedBy>
  <cp:revision>2</cp:revision>
  <dcterms:created xsi:type="dcterms:W3CDTF">2026-01-21T14:04:00Z</dcterms:created>
  <dcterms:modified xsi:type="dcterms:W3CDTF">2026-01-21T14:04:00Z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3589228f-42f7-4563-8ca3-fdbd16231d45</vt:lpwstr>
  </property>
</Properties>
</file>