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CD92" w14:textId="77777777" w:rsidR="00153DAB" w:rsidRPr="00153DAB" w:rsidRDefault="00153DAB" w:rsidP="00153DAB">
      <w:pPr>
        <w:pStyle w:val="Heading3"/>
        <w:spacing w:before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153DAB">
        <w:rPr>
          <w:rFonts w:asciiTheme="majorHAnsi" w:hAnsiTheme="majorHAnsi"/>
          <w:b/>
          <w:bCs/>
          <w:sz w:val="22"/>
          <w:szCs w:val="22"/>
        </w:rPr>
        <w:t>As we begin coordinating with the DSE, what common challenges or reporting issues should we watch for early?</w:t>
      </w:r>
    </w:p>
    <w:p w14:paraId="7F4B2530" w14:textId="77777777" w:rsidR="00153DAB" w:rsidRPr="00153DAB" w:rsidRDefault="00153DAB" w:rsidP="00153DAB">
      <w:pPr>
        <w:pStyle w:val="p3"/>
        <w:spacing w:before="0" w:beforeAutospacing="0"/>
        <w:rPr>
          <w:rFonts w:asciiTheme="minorHAnsi" w:hAnsiTheme="minorHAnsi"/>
          <w:sz w:val="22"/>
          <w:szCs w:val="22"/>
        </w:rPr>
      </w:pPr>
      <w:r w:rsidRPr="00153DAB">
        <w:rPr>
          <w:rFonts w:asciiTheme="minorHAnsi" w:hAnsiTheme="minorHAnsi"/>
          <w:sz w:val="22"/>
          <w:szCs w:val="22"/>
        </w:rPr>
        <w:t>Common issues identified by ACL Program Officers include:</w:t>
      </w:r>
    </w:p>
    <w:p w14:paraId="00DEA9C3" w14:textId="77777777" w:rsidR="00153DAB" w:rsidRPr="00153DAB" w:rsidRDefault="00153DAB" w:rsidP="00153DAB">
      <w:pPr>
        <w:pStyle w:val="p1"/>
        <w:numPr>
          <w:ilvl w:val="0"/>
          <w:numId w:val="11"/>
        </w:numPr>
        <w:spacing w:before="0" w:beforeAutospacing="0"/>
        <w:rPr>
          <w:rFonts w:asciiTheme="minorHAnsi" w:hAnsiTheme="minorHAnsi"/>
          <w:sz w:val="22"/>
          <w:szCs w:val="22"/>
        </w:rPr>
      </w:pPr>
      <w:r w:rsidRPr="00153DAB">
        <w:rPr>
          <w:rFonts w:asciiTheme="minorHAnsi" w:hAnsiTheme="minorHAnsi"/>
          <w:sz w:val="22"/>
          <w:szCs w:val="22"/>
        </w:rPr>
        <w:t xml:space="preserve">Incorrect reporting of </w:t>
      </w:r>
      <w:r w:rsidRPr="00153DAB">
        <w:rPr>
          <w:rStyle w:val="s1"/>
          <w:rFonts w:asciiTheme="minorHAnsi" w:eastAsiaTheme="majorEastAsia" w:hAnsiTheme="minorHAnsi"/>
          <w:sz w:val="22"/>
          <w:szCs w:val="22"/>
        </w:rPr>
        <w:t>Part B amounts</w:t>
      </w:r>
      <w:r w:rsidRPr="00153DAB">
        <w:rPr>
          <w:rFonts w:asciiTheme="minorHAnsi" w:hAnsiTheme="minorHAnsi"/>
          <w:sz w:val="22"/>
          <w:szCs w:val="22"/>
        </w:rPr>
        <w:t xml:space="preserve"> (e.g., entering expenditures or carryover instead of the Notice of Award amount).</w:t>
      </w:r>
    </w:p>
    <w:p w14:paraId="792352F6" w14:textId="77777777" w:rsidR="00153DAB" w:rsidRPr="00153DAB" w:rsidRDefault="00153DAB" w:rsidP="00153DAB">
      <w:pPr>
        <w:pStyle w:val="p1"/>
        <w:numPr>
          <w:ilvl w:val="0"/>
          <w:numId w:val="11"/>
        </w:numPr>
        <w:spacing w:before="0" w:beforeAutospacing="0"/>
        <w:rPr>
          <w:rFonts w:asciiTheme="minorHAnsi" w:hAnsiTheme="minorHAnsi"/>
          <w:sz w:val="22"/>
          <w:szCs w:val="22"/>
        </w:rPr>
      </w:pPr>
      <w:r w:rsidRPr="00153DAB">
        <w:rPr>
          <w:rFonts w:asciiTheme="minorHAnsi" w:hAnsiTheme="minorHAnsi"/>
          <w:sz w:val="22"/>
          <w:szCs w:val="22"/>
        </w:rPr>
        <w:t xml:space="preserve">Errors in </w:t>
      </w:r>
      <w:r w:rsidRPr="00153DAB">
        <w:rPr>
          <w:rStyle w:val="s1"/>
          <w:rFonts w:asciiTheme="minorHAnsi" w:eastAsiaTheme="majorEastAsia" w:hAnsiTheme="minorHAnsi"/>
          <w:sz w:val="22"/>
          <w:szCs w:val="22"/>
        </w:rPr>
        <w:t>SILC composition</w:t>
      </w:r>
      <w:r w:rsidRPr="00153DAB">
        <w:rPr>
          <w:rFonts w:asciiTheme="minorHAnsi" w:hAnsiTheme="minorHAnsi"/>
          <w:sz w:val="22"/>
          <w:szCs w:val="22"/>
        </w:rPr>
        <w:t>, particularly failing to properly reflect vacancies.</w:t>
      </w:r>
    </w:p>
    <w:p w14:paraId="5B329F41" w14:textId="77777777" w:rsidR="00153DAB" w:rsidRDefault="00153DAB" w:rsidP="00153DAB">
      <w:pPr>
        <w:pStyle w:val="p3"/>
        <w:spacing w:before="0" w:beforeAutospacing="0"/>
        <w:rPr>
          <w:rFonts w:asciiTheme="minorHAnsi" w:hAnsiTheme="minorHAnsi"/>
          <w:sz w:val="22"/>
          <w:szCs w:val="22"/>
        </w:rPr>
      </w:pPr>
      <w:r w:rsidRPr="00153DAB">
        <w:rPr>
          <w:rFonts w:asciiTheme="minorHAnsi" w:hAnsiTheme="minorHAnsi"/>
          <w:sz w:val="22"/>
          <w:szCs w:val="22"/>
        </w:rPr>
        <w:t xml:space="preserve">The most persistent challenge is coordinating accurate data across multiple entities (DSE, SILC, and CILs) and verifying consistency. </w:t>
      </w:r>
      <w:r w:rsidRPr="00153DAB">
        <w:rPr>
          <w:rStyle w:val="s2"/>
          <w:rFonts w:asciiTheme="minorHAnsi" w:eastAsiaTheme="majorEastAsia" w:hAnsiTheme="minorHAnsi"/>
          <w:sz w:val="22"/>
          <w:szCs w:val="22"/>
        </w:rPr>
        <w:t xml:space="preserve">As a best practice, </w:t>
      </w:r>
      <w:r w:rsidRPr="00153DAB">
        <w:rPr>
          <w:rFonts w:asciiTheme="minorHAnsi" w:hAnsiTheme="minorHAnsi"/>
          <w:sz w:val="22"/>
          <w:szCs w:val="22"/>
        </w:rPr>
        <w:t>establish early and clear communication with the DSE regarding roles, timelines, and responsibility for each PPR section. Proactive coordination significantly reduces corrections later in the process.</w:t>
      </w:r>
    </w:p>
    <w:p w14:paraId="749DDEEE" w14:textId="77777777" w:rsidR="001D68B0" w:rsidRPr="00153DAB" w:rsidRDefault="001D68B0" w:rsidP="001D68B0">
      <w:pPr>
        <w:pStyle w:val="Heading3"/>
        <w:spacing w:before="0" w:line="240" w:lineRule="auto"/>
        <w:rPr>
          <w:rFonts w:ascii="Aptos" w:hAnsi="Aptos"/>
          <w:b/>
          <w:bCs/>
          <w:sz w:val="22"/>
          <w:szCs w:val="22"/>
        </w:rPr>
      </w:pPr>
      <w:r w:rsidRPr="00153DAB">
        <w:rPr>
          <w:rFonts w:ascii="Aptos" w:hAnsi="Aptos"/>
          <w:b/>
          <w:bCs/>
          <w:sz w:val="22"/>
          <w:szCs w:val="22"/>
        </w:rPr>
        <w:t xml:space="preserve">What is the DSE’s role in the </w:t>
      </w:r>
      <w:r>
        <w:rPr>
          <w:rFonts w:ascii="Aptos" w:hAnsi="Aptos"/>
          <w:b/>
          <w:bCs/>
          <w:sz w:val="22"/>
          <w:szCs w:val="22"/>
        </w:rPr>
        <w:t xml:space="preserve">ILS </w:t>
      </w:r>
      <w:r w:rsidRPr="00153DAB">
        <w:rPr>
          <w:rFonts w:ascii="Aptos" w:hAnsi="Aptos"/>
          <w:b/>
          <w:bCs/>
          <w:sz w:val="22"/>
          <w:szCs w:val="22"/>
        </w:rPr>
        <w:t>PPR?</w:t>
      </w:r>
    </w:p>
    <w:p w14:paraId="3961B65D" w14:textId="3D5F6394" w:rsidR="001D68B0" w:rsidRPr="001D68B0" w:rsidRDefault="001D68B0" w:rsidP="001D68B0">
      <w:pPr>
        <w:spacing w:line="240" w:lineRule="auto"/>
        <w:rPr>
          <w:rStyle w:val="s1"/>
          <w:rFonts w:ascii="Aptos" w:hAnsi="Aptos"/>
        </w:rPr>
      </w:pPr>
      <w:r w:rsidRPr="00A24742">
        <w:rPr>
          <w:rFonts w:ascii="Aptos" w:hAnsi="Aptos"/>
        </w:rPr>
        <w:t>The DSE completes the financial portion of the PPR and is ultimately responsible for submission. Narrative and programmatic sections are typically completed by SILCs and/or CILs</w:t>
      </w:r>
      <w:r>
        <w:rPr>
          <w:rFonts w:ascii="Aptos" w:hAnsi="Aptos"/>
        </w:rPr>
        <w:t xml:space="preserve"> (if they receive only Part B funds)</w:t>
      </w:r>
      <w:r w:rsidRPr="00A24742">
        <w:rPr>
          <w:rFonts w:ascii="Aptos" w:hAnsi="Aptos"/>
        </w:rPr>
        <w:t>, depending on the state.</w:t>
      </w:r>
    </w:p>
    <w:p w14:paraId="4014579B" w14:textId="77777777" w:rsidR="00153DAB" w:rsidRPr="00153DAB" w:rsidRDefault="00153DAB" w:rsidP="00153DAB">
      <w:pPr>
        <w:pStyle w:val="Heading3"/>
        <w:spacing w:before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153DAB">
        <w:rPr>
          <w:rFonts w:asciiTheme="majorHAnsi" w:hAnsiTheme="majorHAnsi"/>
          <w:b/>
          <w:bCs/>
          <w:sz w:val="22"/>
          <w:szCs w:val="22"/>
        </w:rPr>
        <w:t>For a SILC seat that is vacant and Q90 requires start/end dates, what dates should be entered?</w:t>
      </w:r>
    </w:p>
    <w:p w14:paraId="6771AABA" w14:textId="39ED5EEC" w:rsidR="00153DAB" w:rsidRPr="00153DAB" w:rsidRDefault="00153DAB" w:rsidP="00153DAB">
      <w:pPr>
        <w:pStyle w:val="p3"/>
        <w:spacing w:before="0" w:beforeAutospacing="0"/>
        <w:rPr>
          <w:rStyle w:val="s1"/>
          <w:rFonts w:asciiTheme="minorHAnsi" w:eastAsiaTheme="majorEastAsia" w:hAnsiTheme="minorHAnsi"/>
          <w:sz w:val="22"/>
          <w:szCs w:val="22"/>
        </w:rPr>
      </w:pPr>
      <w:r w:rsidRPr="00153DAB">
        <w:rPr>
          <w:rFonts w:asciiTheme="minorHAnsi" w:hAnsiTheme="minorHAnsi"/>
          <w:sz w:val="22"/>
          <w:szCs w:val="22"/>
        </w:rPr>
        <w:t xml:space="preserve">Vacancies do not have true start or end dates. Because Q90 requires dates: </w:t>
      </w:r>
      <w:r w:rsidRPr="00153DAB">
        <w:rPr>
          <w:rStyle w:val="s1"/>
          <w:rFonts w:asciiTheme="minorHAnsi" w:eastAsiaTheme="majorEastAsia" w:hAnsiTheme="minorHAnsi"/>
          <w:sz w:val="22"/>
          <w:szCs w:val="22"/>
        </w:rPr>
        <w:t xml:space="preserve">Enter the </w:t>
      </w:r>
      <w:r w:rsidRPr="00153DAB">
        <w:rPr>
          <w:rFonts w:asciiTheme="minorHAnsi" w:hAnsiTheme="minorHAnsi"/>
          <w:sz w:val="22"/>
          <w:szCs w:val="22"/>
        </w:rPr>
        <w:t xml:space="preserve">prior officeholder’s term start and end dates and clearly mark the position as </w:t>
      </w:r>
      <w:r w:rsidRPr="00153DAB">
        <w:rPr>
          <w:rStyle w:val="s1"/>
          <w:rFonts w:asciiTheme="minorHAnsi" w:eastAsiaTheme="majorEastAsia" w:hAnsiTheme="minorHAnsi"/>
          <w:sz w:val="22"/>
          <w:szCs w:val="22"/>
        </w:rPr>
        <w:t>“Vacant”</w:t>
      </w:r>
      <w:r w:rsidRPr="00153DAB">
        <w:rPr>
          <w:rFonts w:asciiTheme="minorHAnsi" w:hAnsiTheme="minorHAnsi"/>
          <w:sz w:val="22"/>
          <w:szCs w:val="22"/>
        </w:rPr>
        <w:t>. This approach aligns with system behavior and avoids data validation errors.</w:t>
      </w:r>
    </w:p>
    <w:p w14:paraId="0EAF7E1C" w14:textId="77777777" w:rsidR="00153DAB" w:rsidRPr="00153DAB" w:rsidRDefault="00153DAB" w:rsidP="00153DAB">
      <w:pPr>
        <w:pStyle w:val="Heading3"/>
        <w:spacing w:before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153DAB">
        <w:rPr>
          <w:rFonts w:asciiTheme="majorHAnsi" w:hAnsiTheme="majorHAnsi"/>
          <w:b/>
          <w:bCs/>
          <w:sz w:val="22"/>
          <w:szCs w:val="22"/>
        </w:rPr>
        <w:t>Do we include ex officio members when listing vacancies?</w:t>
      </w:r>
    </w:p>
    <w:p w14:paraId="7D85B828" w14:textId="43DEF9CC" w:rsidR="00153DAB" w:rsidRDefault="00153DAB" w:rsidP="00153DAB">
      <w:pPr>
        <w:pStyle w:val="Heading3"/>
        <w:spacing w:before="0" w:line="240" w:lineRule="auto"/>
        <w:rPr>
          <w:sz w:val="22"/>
          <w:szCs w:val="22"/>
        </w:rPr>
      </w:pPr>
      <w:r w:rsidRPr="00153DAB">
        <w:rPr>
          <w:sz w:val="22"/>
          <w:szCs w:val="22"/>
        </w:rPr>
        <w:t>Yes. Ex officio positions should be included when reporting vacancies.</w:t>
      </w:r>
      <w:r w:rsidR="004A6F0A">
        <w:rPr>
          <w:sz w:val="22"/>
          <w:szCs w:val="22"/>
        </w:rPr>
        <w:t xml:space="preserve"> </w:t>
      </w:r>
      <w:r w:rsidR="00C83603" w:rsidRPr="00C83603">
        <w:rPr>
          <w:sz w:val="22"/>
          <w:szCs w:val="22"/>
        </w:rPr>
        <w:t xml:space="preserve">Ex officio members are subject to the same term-limit requirements as other board members. For example, an individual serving as the DSE representative may not serve more than two full, consecutive terms; </w:t>
      </w:r>
      <w:r w:rsidR="001D68B0">
        <w:rPr>
          <w:sz w:val="22"/>
          <w:szCs w:val="22"/>
        </w:rPr>
        <w:t>thereafter, a different individual must be appointed to serve as the DSE representative</w:t>
      </w:r>
      <w:r w:rsidR="00C83603" w:rsidRPr="00C83603">
        <w:rPr>
          <w:sz w:val="22"/>
          <w:szCs w:val="22"/>
        </w:rPr>
        <w:t>.</w:t>
      </w:r>
    </w:p>
    <w:p w14:paraId="0DF6DB62" w14:textId="77777777" w:rsidR="00153DAB" w:rsidRPr="00153DAB" w:rsidRDefault="00153DAB" w:rsidP="00153DAB">
      <w:pPr>
        <w:pStyle w:val="Heading3"/>
        <w:spacing w:before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153DAB">
        <w:rPr>
          <w:rFonts w:asciiTheme="majorHAnsi" w:hAnsiTheme="majorHAnsi"/>
          <w:b/>
          <w:bCs/>
          <w:sz w:val="22"/>
          <w:szCs w:val="22"/>
        </w:rPr>
        <w:t>If a board member’s term has expired but a replacement has not been appointed, should they still be listed as a member?</w:t>
      </w:r>
    </w:p>
    <w:p w14:paraId="10D183C5" w14:textId="6DF99A90" w:rsidR="001D68B0" w:rsidRPr="001D68B0" w:rsidRDefault="004A6F0A" w:rsidP="00153DAB">
      <w:pPr>
        <w:pStyle w:val="Heading3"/>
        <w:spacing w:before="0" w:line="240" w:lineRule="auto"/>
        <w:rPr>
          <w:sz w:val="22"/>
          <w:szCs w:val="22"/>
        </w:rPr>
      </w:pPr>
      <w:r w:rsidRPr="004A6F0A">
        <w:rPr>
          <w:sz w:val="22"/>
          <w:szCs w:val="22"/>
        </w:rPr>
        <w:t>If a board member’s term has expired and no reappointment has occurred, the individual should generally not be listed as serving, unless the by-laws, statute, or the state’s boards and commissions rules provide for holdover service. Some states permit members with expired terms to continue serving to meet quorum requirements until a successor is appointed. Additionally, if a member is eligible for reappointment (e.g., within term limits) and there is clear, documented intent to reappoint, the individual may continue to be listed.</w:t>
      </w:r>
    </w:p>
    <w:p w14:paraId="20807794" w14:textId="39F1EB02" w:rsidR="00153DAB" w:rsidRPr="00153DAB" w:rsidRDefault="00153DAB" w:rsidP="00153DAB">
      <w:pPr>
        <w:pStyle w:val="Heading3"/>
        <w:spacing w:before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153DAB">
        <w:rPr>
          <w:rFonts w:asciiTheme="majorHAnsi" w:hAnsiTheme="majorHAnsi"/>
          <w:b/>
          <w:bCs/>
          <w:sz w:val="22"/>
          <w:szCs w:val="22"/>
        </w:rPr>
        <w:t>If appointments are “in process,” do we still mark those seats vacant?</w:t>
      </w:r>
    </w:p>
    <w:p w14:paraId="7B7823BB" w14:textId="77777777" w:rsidR="00153DAB" w:rsidRPr="00153DAB" w:rsidRDefault="00153DAB" w:rsidP="00153DAB">
      <w:pPr>
        <w:pStyle w:val="p3"/>
        <w:spacing w:before="0" w:beforeAutospacing="0"/>
        <w:rPr>
          <w:rStyle w:val="s1"/>
          <w:rFonts w:asciiTheme="minorHAnsi" w:eastAsiaTheme="majorEastAsia" w:hAnsiTheme="minorHAnsi"/>
          <w:sz w:val="22"/>
          <w:szCs w:val="22"/>
        </w:rPr>
      </w:pPr>
      <w:r w:rsidRPr="00153DAB">
        <w:rPr>
          <w:rFonts w:asciiTheme="minorHAnsi" w:hAnsiTheme="minorHAnsi"/>
          <w:sz w:val="22"/>
          <w:szCs w:val="22"/>
        </w:rPr>
        <w:t xml:space="preserve">Yes. Report the council’s status </w:t>
      </w:r>
      <w:r w:rsidRPr="00153DAB">
        <w:rPr>
          <w:rStyle w:val="s2"/>
          <w:rFonts w:asciiTheme="minorHAnsi" w:eastAsiaTheme="majorEastAsia" w:hAnsiTheme="minorHAnsi"/>
          <w:sz w:val="22"/>
          <w:szCs w:val="22"/>
        </w:rPr>
        <w:t>as of September 30</w:t>
      </w:r>
      <w:r w:rsidRPr="00153DAB">
        <w:rPr>
          <w:rFonts w:asciiTheme="minorHAnsi" w:hAnsiTheme="minorHAnsi"/>
          <w:sz w:val="22"/>
          <w:szCs w:val="22"/>
        </w:rPr>
        <w:t xml:space="preserve"> (the end of the PPR reporting period: 10/1–9/30). If a seat was vacant on that date, mark it as </w:t>
      </w:r>
      <w:r w:rsidRPr="00153DAB">
        <w:rPr>
          <w:rStyle w:val="s1"/>
          <w:rFonts w:asciiTheme="minorHAnsi" w:eastAsiaTheme="majorEastAsia" w:hAnsiTheme="minorHAnsi"/>
          <w:sz w:val="22"/>
          <w:szCs w:val="22"/>
        </w:rPr>
        <w:t>Vacant</w:t>
      </w:r>
      <w:r w:rsidRPr="00153DAB">
        <w:rPr>
          <w:rStyle w:val="s1"/>
          <w:rFonts w:asciiTheme="minorHAnsi" w:hAnsiTheme="minorHAnsi"/>
          <w:sz w:val="22"/>
          <w:szCs w:val="22"/>
        </w:rPr>
        <w:t xml:space="preserve"> </w:t>
      </w:r>
      <w:r w:rsidRPr="00153DAB">
        <w:rPr>
          <w:rFonts w:asciiTheme="minorHAnsi" w:hAnsiTheme="minorHAnsi"/>
          <w:sz w:val="22"/>
          <w:szCs w:val="22"/>
        </w:rPr>
        <w:t>and use the narrative to explain that appointments are in process or expected soon</w:t>
      </w:r>
    </w:p>
    <w:p w14:paraId="4AFFBB43" w14:textId="77777777" w:rsidR="00153DAB" w:rsidRPr="00153DAB" w:rsidRDefault="00153DAB" w:rsidP="00153DAB">
      <w:pPr>
        <w:pStyle w:val="Heading3"/>
        <w:spacing w:before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153DAB">
        <w:rPr>
          <w:rFonts w:asciiTheme="majorHAnsi" w:hAnsiTheme="majorHAnsi"/>
          <w:b/>
          <w:bCs/>
          <w:sz w:val="22"/>
          <w:szCs w:val="22"/>
        </w:rPr>
        <w:t>Our bylaws do not specify a fixed number of council members. Do we still report vacancies?</w:t>
      </w:r>
    </w:p>
    <w:p w14:paraId="4FBFDC9F" w14:textId="2003F035" w:rsidR="00153DAB" w:rsidRPr="00153DAB" w:rsidRDefault="00153DAB" w:rsidP="00153DAB">
      <w:pPr>
        <w:pStyle w:val="p3"/>
        <w:spacing w:before="0" w:beforeAutospacing="0"/>
        <w:rPr>
          <w:rStyle w:val="s1"/>
          <w:rFonts w:asciiTheme="minorHAnsi" w:eastAsiaTheme="majorEastAsia" w:hAnsiTheme="minorHAnsi"/>
          <w:sz w:val="22"/>
          <w:szCs w:val="22"/>
        </w:rPr>
      </w:pPr>
      <w:r w:rsidRPr="00153DAB">
        <w:rPr>
          <w:rFonts w:asciiTheme="minorHAnsi" w:hAnsiTheme="minorHAnsi"/>
          <w:sz w:val="22"/>
          <w:szCs w:val="22"/>
        </w:rPr>
        <w:t xml:space="preserve">ACL expects SILCs to meet </w:t>
      </w:r>
      <w:r w:rsidRPr="00153DAB">
        <w:rPr>
          <w:rStyle w:val="s2"/>
          <w:rFonts w:asciiTheme="minorHAnsi" w:eastAsiaTheme="majorEastAsia" w:hAnsiTheme="minorHAnsi"/>
          <w:sz w:val="22"/>
          <w:szCs w:val="22"/>
        </w:rPr>
        <w:t>minimum required representation</w:t>
      </w:r>
      <w:r w:rsidRPr="00153DAB">
        <w:rPr>
          <w:rFonts w:asciiTheme="minorHAnsi" w:hAnsiTheme="minorHAnsi"/>
          <w:sz w:val="22"/>
          <w:szCs w:val="22"/>
        </w:rPr>
        <w:t>, regardless of whether bylaws set a fixed number of seats: CIL Representative, DSE Representative, Other State Agency</w:t>
      </w:r>
      <w:r>
        <w:rPr>
          <w:rFonts w:asciiTheme="minorHAnsi" w:hAnsiTheme="minorHAnsi"/>
          <w:sz w:val="22"/>
          <w:szCs w:val="22"/>
        </w:rPr>
        <w:t xml:space="preserve"> </w:t>
      </w:r>
      <w:r w:rsidRPr="00153DAB">
        <w:rPr>
          <w:rFonts w:asciiTheme="minorHAnsi" w:hAnsiTheme="minorHAnsi"/>
          <w:sz w:val="22"/>
          <w:szCs w:val="22"/>
        </w:rPr>
        <w:t xml:space="preserve">Representative, and </w:t>
      </w:r>
      <w:r w:rsidRPr="00153DAB">
        <w:rPr>
          <w:rStyle w:val="s1"/>
          <w:rFonts w:asciiTheme="minorHAnsi" w:hAnsiTheme="minorHAnsi"/>
          <w:sz w:val="22"/>
          <w:szCs w:val="22"/>
        </w:rPr>
        <w:t>a</w:t>
      </w:r>
      <w:r w:rsidRPr="00153DAB">
        <w:rPr>
          <w:rStyle w:val="s1"/>
          <w:rFonts w:asciiTheme="minorHAnsi" w:eastAsiaTheme="majorEastAsia" w:hAnsiTheme="minorHAnsi"/>
          <w:sz w:val="22"/>
          <w:szCs w:val="22"/>
        </w:rPr>
        <w:t xml:space="preserve"> </w:t>
      </w:r>
      <w:r w:rsidRPr="00153DAB">
        <w:rPr>
          <w:rFonts w:asciiTheme="minorHAnsi" w:hAnsiTheme="minorHAnsi"/>
          <w:sz w:val="22"/>
          <w:szCs w:val="22"/>
        </w:rPr>
        <w:t xml:space="preserve">majority of members who are persons with disabilities not employed by a CIL </w:t>
      </w:r>
      <w:r w:rsidRPr="00153DAB">
        <w:rPr>
          <w:rFonts w:asciiTheme="minorHAnsi" w:hAnsiTheme="minorHAnsi"/>
          <w:sz w:val="22"/>
          <w:szCs w:val="22"/>
        </w:rPr>
        <w:lastRenderedPageBreak/>
        <w:t xml:space="preserve">or state agency. This yields a </w:t>
      </w:r>
      <w:r w:rsidRPr="00153DAB">
        <w:rPr>
          <w:rStyle w:val="s2"/>
          <w:rFonts w:asciiTheme="minorHAnsi" w:eastAsiaTheme="majorEastAsia" w:hAnsiTheme="minorHAnsi"/>
          <w:sz w:val="22"/>
          <w:szCs w:val="22"/>
        </w:rPr>
        <w:t>minimum of 7 members</w:t>
      </w:r>
      <w:r w:rsidRPr="00153DAB">
        <w:rPr>
          <w:rFonts w:asciiTheme="minorHAnsi" w:hAnsiTheme="minorHAnsi"/>
          <w:sz w:val="22"/>
          <w:szCs w:val="22"/>
        </w:rPr>
        <w:t xml:space="preserve"> (3 required + majority of 4). Vacancies should be reported </w:t>
      </w:r>
      <w:r w:rsidR="001D68B0" w:rsidRPr="00153DAB">
        <w:rPr>
          <w:rFonts w:asciiTheme="minorHAnsi" w:hAnsiTheme="minorHAnsi"/>
          <w:sz w:val="22"/>
          <w:szCs w:val="22"/>
        </w:rPr>
        <w:t>if they fall</w:t>
      </w:r>
      <w:r w:rsidRPr="00153DAB">
        <w:rPr>
          <w:rFonts w:asciiTheme="minorHAnsi" w:hAnsiTheme="minorHAnsi"/>
          <w:sz w:val="22"/>
          <w:szCs w:val="22"/>
        </w:rPr>
        <w:t xml:space="preserve"> below </w:t>
      </w:r>
      <w:r w:rsidR="001D68B0">
        <w:rPr>
          <w:rFonts w:asciiTheme="minorHAnsi" w:hAnsiTheme="minorHAnsi"/>
          <w:sz w:val="22"/>
          <w:szCs w:val="22"/>
        </w:rPr>
        <w:t xml:space="preserve">the </w:t>
      </w:r>
      <w:r w:rsidRPr="00153DAB">
        <w:rPr>
          <w:rFonts w:asciiTheme="minorHAnsi" w:hAnsiTheme="minorHAnsi"/>
          <w:sz w:val="22"/>
          <w:szCs w:val="22"/>
        </w:rPr>
        <w:t>required composition.</w:t>
      </w:r>
    </w:p>
    <w:p w14:paraId="0E7F8D17" w14:textId="77777777" w:rsidR="00153DAB" w:rsidRPr="00153DAB" w:rsidRDefault="00153DAB" w:rsidP="00153DAB">
      <w:pPr>
        <w:pStyle w:val="Heading3"/>
        <w:spacing w:before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153DAB">
        <w:rPr>
          <w:rFonts w:asciiTheme="majorHAnsi" w:hAnsiTheme="majorHAnsi"/>
          <w:b/>
          <w:bCs/>
          <w:sz w:val="22"/>
          <w:szCs w:val="22"/>
        </w:rPr>
        <w:t>Our bylaws allow 17–24 members, but we currently have 18 and several unfilled slots. Do we need to list those as vacancies?</w:t>
      </w:r>
    </w:p>
    <w:p w14:paraId="4E547037" w14:textId="77777777" w:rsidR="00153DAB" w:rsidRPr="00153DAB" w:rsidRDefault="00153DAB" w:rsidP="00153DAB">
      <w:pPr>
        <w:pStyle w:val="p3"/>
        <w:spacing w:before="0" w:beforeAutospacing="0"/>
        <w:rPr>
          <w:rFonts w:asciiTheme="minorHAnsi" w:hAnsiTheme="minorHAnsi"/>
          <w:sz w:val="22"/>
          <w:szCs w:val="22"/>
        </w:rPr>
      </w:pPr>
      <w:r w:rsidRPr="00153DAB">
        <w:rPr>
          <w:rFonts w:asciiTheme="minorHAnsi" w:hAnsiTheme="minorHAnsi"/>
          <w:sz w:val="22"/>
          <w:szCs w:val="22"/>
        </w:rPr>
        <w:t xml:space="preserve">No. When bylaws specify a range: You are </w:t>
      </w:r>
      <w:r w:rsidRPr="00153DAB">
        <w:rPr>
          <w:rStyle w:val="s1"/>
          <w:rFonts w:asciiTheme="minorHAnsi" w:eastAsiaTheme="majorEastAsia" w:hAnsiTheme="minorHAnsi"/>
          <w:sz w:val="22"/>
          <w:szCs w:val="22"/>
        </w:rPr>
        <w:t>not required</w:t>
      </w:r>
      <w:r w:rsidRPr="00153DAB">
        <w:rPr>
          <w:rFonts w:asciiTheme="minorHAnsi" w:hAnsiTheme="minorHAnsi"/>
          <w:sz w:val="22"/>
          <w:szCs w:val="22"/>
        </w:rPr>
        <w:t xml:space="preserve"> to list vacancies beyond what is necessary to meet minimum composition, and you may note in the narrative that the council intends to move toward the upper end of the range. </w:t>
      </w:r>
      <w:r w:rsidRPr="00153DAB">
        <w:rPr>
          <w:rStyle w:val="s3"/>
          <w:rFonts w:asciiTheme="minorHAnsi" w:hAnsiTheme="minorHAnsi"/>
          <w:sz w:val="22"/>
          <w:szCs w:val="22"/>
        </w:rPr>
        <w:t xml:space="preserve">This is </w:t>
      </w:r>
      <w:r w:rsidRPr="00153DAB">
        <w:rPr>
          <w:rFonts w:asciiTheme="minorHAnsi" w:hAnsiTheme="minorHAnsi"/>
          <w:sz w:val="22"/>
          <w:szCs w:val="22"/>
        </w:rPr>
        <w:t>not a compliance issue</w:t>
      </w:r>
      <w:r w:rsidRPr="00153DAB">
        <w:rPr>
          <w:rStyle w:val="s3"/>
          <w:rFonts w:asciiTheme="minorHAnsi" w:hAnsiTheme="minorHAnsi"/>
          <w:sz w:val="22"/>
          <w:szCs w:val="22"/>
        </w:rPr>
        <w:t>.</w:t>
      </w:r>
    </w:p>
    <w:p w14:paraId="1861C50D" w14:textId="77777777" w:rsidR="00153DAB" w:rsidRPr="00153DAB" w:rsidRDefault="00153DAB" w:rsidP="00153DAB">
      <w:pPr>
        <w:pStyle w:val="Heading3"/>
        <w:spacing w:before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153DAB">
        <w:rPr>
          <w:rFonts w:asciiTheme="majorHAnsi" w:hAnsiTheme="majorHAnsi"/>
          <w:b/>
          <w:bCs/>
          <w:sz w:val="22"/>
          <w:szCs w:val="22"/>
        </w:rPr>
        <w:t>Our boards/commissions website uses generic titles, but our SILC uses distinct titles. Which should we use in the PPR?</w:t>
      </w:r>
    </w:p>
    <w:p w14:paraId="79D139BE" w14:textId="77777777" w:rsidR="00153DAB" w:rsidRPr="00153DAB" w:rsidRDefault="00153DAB" w:rsidP="00153DAB">
      <w:pPr>
        <w:pStyle w:val="p3"/>
        <w:spacing w:before="0" w:beforeAutospacing="0"/>
        <w:rPr>
          <w:rFonts w:asciiTheme="minorHAnsi" w:hAnsiTheme="minorHAnsi"/>
          <w:sz w:val="22"/>
          <w:szCs w:val="22"/>
        </w:rPr>
      </w:pPr>
      <w:r w:rsidRPr="00153DAB">
        <w:rPr>
          <w:rFonts w:asciiTheme="minorHAnsi" w:hAnsiTheme="minorHAnsi"/>
          <w:sz w:val="22"/>
          <w:szCs w:val="22"/>
        </w:rPr>
        <w:t xml:space="preserve">ACL reviews compliance based on </w:t>
      </w:r>
      <w:r w:rsidRPr="00153DAB">
        <w:rPr>
          <w:rStyle w:val="s2"/>
          <w:rFonts w:asciiTheme="minorHAnsi" w:eastAsiaTheme="majorEastAsia" w:hAnsiTheme="minorHAnsi"/>
          <w:sz w:val="22"/>
          <w:szCs w:val="22"/>
        </w:rPr>
        <w:t>appointment categories</w:t>
      </w:r>
      <w:r w:rsidRPr="00153DAB">
        <w:rPr>
          <w:rFonts w:asciiTheme="minorHAnsi" w:hAnsiTheme="minorHAnsi"/>
          <w:sz w:val="22"/>
          <w:szCs w:val="22"/>
        </w:rPr>
        <w:t>, not local titles: CIL Representative, DSE Representative, Other State Agency Representative, and Members who are persons with disabilities not employed by a CIL or state agency. You may list local titles, but compliance is determined by alignment with these required categories.</w:t>
      </w:r>
    </w:p>
    <w:p w14:paraId="6AA12CCD" w14:textId="77777777" w:rsidR="00153DAB" w:rsidRPr="00153DAB" w:rsidRDefault="00153DAB" w:rsidP="00153DAB">
      <w:pPr>
        <w:pStyle w:val="Heading3"/>
        <w:spacing w:before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153DAB">
        <w:rPr>
          <w:rFonts w:asciiTheme="majorHAnsi" w:hAnsiTheme="majorHAnsi"/>
          <w:b/>
          <w:bCs/>
          <w:sz w:val="22"/>
          <w:szCs w:val="22"/>
        </w:rPr>
        <w:t>We have experienced prolonged difficulty with appointments through the Governor’s office. How should this be addressed in the PPR, and can ACL assist?</w:t>
      </w:r>
    </w:p>
    <w:p w14:paraId="44409B33" w14:textId="77777777" w:rsidR="00153DAB" w:rsidRPr="00153DAB" w:rsidRDefault="00153DAB" w:rsidP="00153DAB">
      <w:pPr>
        <w:pStyle w:val="p1"/>
        <w:spacing w:before="0" w:beforeAutospacing="0"/>
        <w:rPr>
          <w:rFonts w:asciiTheme="minorHAnsi" w:hAnsiTheme="minorHAnsi"/>
          <w:sz w:val="22"/>
          <w:szCs w:val="22"/>
        </w:rPr>
      </w:pPr>
      <w:r w:rsidRPr="00153DAB">
        <w:rPr>
          <w:rFonts w:asciiTheme="minorHAnsi" w:hAnsiTheme="minorHAnsi"/>
          <w:sz w:val="22"/>
          <w:szCs w:val="22"/>
        </w:rPr>
        <w:t xml:space="preserve">Document appointment challenges and context in the </w:t>
      </w:r>
      <w:r w:rsidRPr="00153DAB">
        <w:rPr>
          <w:rStyle w:val="s1"/>
          <w:rFonts w:asciiTheme="minorHAnsi" w:eastAsiaTheme="majorEastAsia" w:hAnsiTheme="minorHAnsi"/>
          <w:sz w:val="22"/>
          <w:szCs w:val="22"/>
        </w:rPr>
        <w:t>PPR narrative</w:t>
      </w:r>
      <w:r w:rsidRPr="00153DAB">
        <w:rPr>
          <w:rFonts w:asciiTheme="minorHAnsi" w:hAnsiTheme="minorHAnsi"/>
          <w:sz w:val="22"/>
          <w:szCs w:val="22"/>
        </w:rPr>
        <w:t xml:space="preserve">. Engage your </w:t>
      </w:r>
      <w:r w:rsidRPr="00153DAB">
        <w:rPr>
          <w:rStyle w:val="s1"/>
          <w:rFonts w:asciiTheme="minorHAnsi" w:eastAsiaTheme="majorEastAsia" w:hAnsiTheme="minorHAnsi"/>
          <w:sz w:val="22"/>
          <w:szCs w:val="22"/>
        </w:rPr>
        <w:t>ACL Program Officer</w:t>
      </w:r>
      <w:r w:rsidRPr="00153DAB">
        <w:rPr>
          <w:rFonts w:asciiTheme="minorHAnsi" w:hAnsiTheme="minorHAnsi"/>
          <w:sz w:val="22"/>
          <w:szCs w:val="22"/>
        </w:rPr>
        <w:t xml:space="preserve">, who may assist in coordination with state offices. Consider using </w:t>
      </w:r>
      <w:proofErr w:type="spellStart"/>
      <w:r w:rsidRPr="00153DAB">
        <w:rPr>
          <w:rFonts w:asciiTheme="minorHAnsi" w:hAnsiTheme="minorHAnsi"/>
          <w:sz w:val="22"/>
          <w:szCs w:val="22"/>
        </w:rPr>
        <w:t>presubmission</w:t>
      </w:r>
      <w:proofErr w:type="spellEnd"/>
      <w:r w:rsidRPr="00153DAB">
        <w:rPr>
          <w:rFonts w:asciiTheme="minorHAnsi" w:hAnsiTheme="minorHAnsi"/>
          <w:sz w:val="22"/>
          <w:szCs w:val="22"/>
        </w:rPr>
        <w:t xml:space="preserve"> outreach and the PPR deadline as leverage to prompt updates. ACL uses this narrative context to understand systemic barriers and provide support.</w:t>
      </w:r>
    </w:p>
    <w:p w14:paraId="7D8ECE7D" w14:textId="77777777" w:rsidR="00153DAB" w:rsidRPr="00153DAB" w:rsidRDefault="00153DAB" w:rsidP="00153DAB">
      <w:pPr>
        <w:pStyle w:val="Heading3"/>
        <w:spacing w:before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153DAB">
        <w:rPr>
          <w:rFonts w:asciiTheme="majorHAnsi" w:hAnsiTheme="majorHAnsi"/>
          <w:b/>
          <w:bCs/>
          <w:sz w:val="22"/>
          <w:szCs w:val="22"/>
        </w:rPr>
        <w:t>Our DSE funds programs labeled “independent living” that are not CIL subawards. Should these funds be included, and how should they be explained?</w:t>
      </w:r>
    </w:p>
    <w:p w14:paraId="6A947EE1" w14:textId="064D77BC" w:rsidR="00153DAB" w:rsidRPr="00153DAB" w:rsidRDefault="00153DAB" w:rsidP="00153DAB">
      <w:pPr>
        <w:pStyle w:val="p3"/>
        <w:spacing w:before="0" w:beforeAutospacing="0"/>
        <w:rPr>
          <w:rFonts w:asciiTheme="minorHAnsi" w:hAnsiTheme="minorHAnsi"/>
          <w:sz w:val="22"/>
          <w:szCs w:val="22"/>
        </w:rPr>
      </w:pPr>
      <w:r w:rsidRPr="00153DAB">
        <w:rPr>
          <w:rFonts w:asciiTheme="minorHAnsi" w:hAnsiTheme="minorHAnsi"/>
          <w:sz w:val="22"/>
          <w:szCs w:val="22"/>
        </w:rPr>
        <w:t xml:space="preserve">Yes. Include these funds in </w:t>
      </w:r>
      <w:r w:rsidRPr="00153DAB">
        <w:rPr>
          <w:rStyle w:val="s2"/>
          <w:rFonts w:asciiTheme="minorHAnsi" w:eastAsiaTheme="majorEastAsia" w:hAnsiTheme="minorHAnsi"/>
          <w:sz w:val="22"/>
          <w:szCs w:val="22"/>
        </w:rPr>
        <w:t>Subpart I, Section A (6)</w:t>
      </w:r>
      <w:r w:rsidRPr="00153DAB">
        <w:rPr>
          <w:rFonts w:asciiTheme="minorHAnsi" w:hAnsiTheme="minorHAnsi"/>
          <w:sz w:val="22"/>
          <w:szCs w:val="22"/>
        </w:rPr>
        <w:t xml:space="preserve"> (“funds received for the IL program”). Provide narrative explanation describing: The purpose of the funds, how they support the IL program, and how they differ from CIL subawards. ACL may follow up to clarify placement, but transparency is encouraged.</w:t>
      </w:r>
      <w:r w:rsidR="004A6F0A">
        <w:rPr>
          <w:rFonts w:asciiTheme="minorHAnsi" w:hAnsiTheme="minorHAnsi"/>
          <w:sz w:val="22"/>
          <w:szCs w:val="22"/>
        </w:rPr>
        <w:t xml:space="preserve"> These funds should also be included in the State Plan for Independent Living (SPIL).</w:t>
      </w:r>
    </w:p>
    <w:p w14:paraId="5DD4661D" w14:textId="77777777" w:rsidR="00153DAB" w:rsidRPr="00153DAB" w:rsidRDefault="00153DAB" w:rsidP="00153DAB">
      <w:pPr>
        <w:pStyle w:val="Heading3"/>
        <w:spacing w:before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153DAB">
        <w:rPr>
          <w:rFonts w:asciiTheme="majorHAnsi" w:hAnsiTheme="majorHAnsi"/>
          <w:b/>
          <w:bCs/>
          <w:sz w:val="22"/>
          <w:szCs w:val="22"/>
        </w:rPr>
        <w:t>If the SILC disagrees with information entered by the DSE, where can the SILC add its perspective?</w:t>
      </w:r>
    </w:p>
    <w:p w14:paraId="385E4159" w14:textId="32B7F6DD" w:rsidR="00153DAB" w:rsidRPr="00153DAB" w:rsidRDefault="00153DAB" w:rsidP="00153DAB">
      <w:pPr>
        <w:pStyle w:val="p3"/>
        <w:spacing w:before="0" w:beforeAutospacing="0"/>
        <w:rPr>
          <w:rFonts w:asciiTheme="minorHAnsi" w:hAnsiTheme="minorHAnsi"/>
          <w:sz w:val="22"/>
          <w:szCs w:val="22"/>
        </w:rPr>
      </w:pPr>
      <w:r w:rsidRPr="00153DAB">
        <w:rPr>
          <w:rFonts w:asciiTheme="minorHAnsi" w:hAnsiTheme="minorHAnsi"/>
          <w:sz w:val="22"/>
          <w:szCs w:val="22"/>
        </w:rPr>
        <w:t xml:space="preserve">Use </w:t>
      </w:r>
      <w:r w:rsidRPr="00153DAB">
        <w:rPr>
          <w:rStyle w:val="s2"/>
          <w:rFonts w:asciiTheme="minorHAnsi" w:eastAsiaTheme="majorEastAsia" w:hAnsiTheme="minorHAnsi"/>
          <w:sz w:val="22"/>
          <w:szCs w:val="22"/>
        </w:rPr>
        <w:t>Subpart VI, Sections B and C</w:t>
      </w:r>
      <w:r w:rsidRPr="00153DAB">
        <w:rPr>
          <w:rFonts w:asciiTheme="minorHAnsi" w:hAnsiTheme="minorHAnsi"/>
          <w:sz w:val="22"/>
          <w:szCs w:val="22"/>
        </w:rPr>
        <w:t xml:space="preserve"> (challenges, accomplishments, and issues) to provide supplemental context. SILCs should also: Attempt reconciliation directly with the DSE and Request Technical Assistance or mediation through their </w:t>
      </w:r>
      <w:r w:rsidRPr="00153DAB">
        <w:rPr>
          <w:rStyle w:val="s1"/>
          <w:rFonts w:asciiTheme="minorHAnsi" w:eastAsiaTheme="majorEastAsia" w:hAnsiTheme="minorHAnsi"/>
          <w:sz w:val="22"/>
          <w:szCs w:val="22"/>
        </w:rPr>
        <w:t>Program Officer</w:t>
      </w:r>
      <w:r w:rsidRPr="00153DAB">
        <w:rPr>
          <w:rFonts w:asciiTheme="minorHAnsi" w:hAnsiTheme="minorHAnsi"/>
          <w:sz w:val="22"/>
          <w:szCs w:val="22"/>
        </w:rPr>
        <w:t xml:space="preserve"> or the </w:t>
      </w:r>
      <w:r w:rsidRPr="00153DAB">
        <w:rPr>
          <w:rStyle w:val="s1"/>
          <w:rFonts w:asciiTheme="minorHAnsi" w:eastAsiaTheme="majorEastAsia" w:hAnsiTheme="minorHAnsi"/>
          <w:sz w:val="22"/>
          <w:szCs w:val="22"/>
        </w:rPr>
        <w:t>IL T&amp;TA Center</w:t>
      </w:r>
      <w:r w:rsidRPr="00153DAB">
        <w:rPr>
          <w:rFonts w:asciiTheme="minorHAnsi" w:hAnsiTheme="minorHAnsi"/>
          <w:sz w:val="22"/>
          <w:szCs w:val="22"/>
        </w:rPr>
        <w:t>, if needed.</w:t>
      </w:r>
    </w:p>
    <w:p w14:paraId="12FDD2DE" w14:textId="77777777" w:rsidR="00153DAB" w:rsidRPr="00153DAB" w:rsidRDefault="00153DAB" w:rsidP="00153DAB">
      <w:pPr>
        <w:pStyle w:val="Heading3"/>
        <w:spacing w:before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153DAB">
        <w:rPr>
          <w:rFonts w:asciiTheme="majorHAnsi" w:hAnsiTheme="majorHAnsi"/>
          <w:b/>
          <w:bCs/>
          <w:sz w:val="22"/>
          <w:szCs w:val="22"/>
        </w:rPr>
        <w:t>What is the reporting period for the ILS PPR?</w:t>
      </w:r>
    </w:p>
    <w:p w14:paraId="2E8F58D4" w14:textId="77777777" w:rsidR="00153DAB" w:rsidRPr="00153DAB" w:rsidRDefault="00153DAB" w:rsidP="00153DAB">
      <w:pPr>
        <w:pStyle w:val="p3"/>
        <w:spacing w:before="0" w:beforeAutospacing="0"/>
        <w:rPr>
          <w:rStyle w:val="s1"/>
          <w:rFonts w:asciiTheme="minorHAnsi" w:eastAsiaTheme="majorEastAsia" w:hAnsiTheme="minorHAnsi"/>
          <w:sz w:val="22"/>
          <w:szCs w:val="22"/>
        </w:rPr>
      </w:pPr>
      <w:r w:rsidRPr="00153DAB">
        <w:rPr>
          <w:rFonts w:asciiTheme="minorHAnsi" w:hAnsiTheme="minorHAnsi"/>
          <w:sz w:val="22"/>
          <w:szCs w:val="22"/>
        </w:rPr>
        <w:t xml:space="preserve">The ILS PPR covers </w:t>
      </w:r>
      <w:r w:rsidRPr="00153DAB">
        <w:rPr>
          <w:rStyle w:val="s2"/>
          <w:rFonts w:asciiTheme="minorHAnsi" w:eastAsiaTheme="majorEastAsia" w:hAnsiTheme="minorHAnsi"/>
          <w:sz w:val="22"/>
          <w:szCs w:val="22"/>
        </w:rPr>
        <w:t>October 1 through September 30</w:t>
      </w:r>
      <w:r w:rsidRPr="00153DAB">
        <w:rPr>
          <w:rFonts w:asciiTheme="minorHAnsi" w:hAnsiTheme="minorHAnsi"/>
          <w:sz w:val="22"/>
          <w:szCs w:val="22"/>
        </w:rPr>
        <w:t xml:space="preserve">. Report conditions and membership status as of </w:t>
      </w:r>
      <w:r w:rsidRPr="00153DAB">
        <w:rPr>
          <w:rStyle w:val="s2"/>
          <w:rFonts w:asciiTheme="minorHAnsi" w:eastAsiaTheme="majorEastAsia" w:hAnsiTheme="minorHAnsi"/>
          <w:sz w:val="22"/>
          <w:szCs w:val="22"/>
        </w:rPr>
        <w:t>September 30</w:t>
      </w:r>
      <w:r w:rsidRPr="00153DAB">
        <w:rPr>
          <w:rFonts w:asciiTheme="minorHAnsi" w:hAnsiTheme="minorHAnsi"/>
          <w:sz w:val="22"/>
          <w:szCs w:val="22"/>
        </w:rPr>
        <w:t>.</w:t>
      </w:r>
    </w:p>
    <w:p w14:paraId="4C4F901C" w14:textId="77777777" w:rsidR="00153DAB" w:rsidRPr="00153DAB" w:rsidRDefault="00153DAB" w:rsidP="00153DAB">
      <w:pPr>
        <w:pStyle w:val="Heading3"/>
        <w:spacing w:before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153DAB">
        <w:rPr>
          <w:rFonts w:asciiTheme="majorHAnsi" w:hAnsiTheme="majorHAnsi"/>
          <w:b/>
          <w:bCs/>
          <w:sz w:val="22"/>
          <w:szCs w:val="22"/>
        </w:rPr>
        <w:t>What is the due date for the ILS PPR?</w:t>
      </w:r>
    </w:p>
    <w:p w14:paraId="23586CDF" w14:textId="77777777" w:rsidR="00153DAB" w:rsidRDefault="00153DAB" w:rsidP="00153DAB">
      <w:pPr>
        <w:pStyle w:val="p4"/>
        <w:spacing w:before="0" w:beforeAutospacing="0"/>
        <w:rPr>
          <w:rFonts w:asciiTheme="minorHAnsi" w:hAnsiTheme="minorHAnsi"/>
          <w:sz w:val="22"/>
          <w:szCs w:val="22"/>
        </w:rPr>
      </w:pPr>
      <w:r w:rsidRPr="00153DAB">
        <w:rPr>
          <w:rFonts w:asciiTheme="minorHAnsi" w:hAnsiTheme="minorHAnsi"/>
          <w:sz w:val="22"/>
          <w:szCs w:val="22"/>
        </w:rPr>
        <w:t>January 31, 2026</w:t>
      </w:r>
    </w:p>
    <w:p w14:paraId="3A27E6BB" w14:textId="77777777" w:rsidR="001D68B0" w:rsidRPr="00153DAB" w:rsidRDefault="001D68B0" w:rsidP="001D68B0">
      <w:pPr>
        <w:pStyle w:val="Heading3"/>
        <w:spacing w:before="0" w:line="240" w:lineRule="auto"/>
        <w:rPr>
          <w:rFonts w:ascii="Aptos" w:hAnsi="Aptos"/>
          <w:b/>
          <w:bCs/>
          <w:sz w:val="22"/>
          <w:szCs w:val="22"/>
        </w:rPr>
      </w:pPr>
      <w:r w:rsidRPr="00153DAB">
        <w:rPr>
          <w:rFonts w:ascii="Aptos" w:hAnsi="Aptos"/>
          <w:b/>
          <w:bCs/>
          <w:sz w:val="22"/>
          <w:szCs w:val="22"/>
        </w:rPr>
        <w:t xml:space="preserve">What should </w:t>
      </w:r>
      <w:proofErr w:type="gramStart"/>
      <w:r w:rsidRPr="00153DAB">
        <w:rPr>
          <w:rFonts w:ascii="Aptos" w:hAnsi="Aptos"/>
          <w:b/>
          <w:bCs/>
          <w:sz w:val="22"/>
          <w:szCs w:val="22"/>
        </w:rPr>
        <w:t>a SILC</w:t>
      </w:r>
      <w:proofErr w:type="gramEnd"/>
      <w:r w:rsidRPr="00153DAB">
        <w:rPr>
          <w:rFonts w:ascii="Aptos" w:hAnsi="Aptos"/>
          <w:b/>
          <w:bCs/>
          <w:sz w:val="22"/>
          <w:szCs w:val="22"/>
        </w:rPr>
        <w:t xml:space="preserve"> do if reimbursements from the DSE are severely delayed?</w:t>
      </w:r>
    </w:p>
    <w:p w14:paraId="27CB72CB" w14:textId="56A2EC88" w:rsidR="001D68B0" w:rsidRPr="00A24742" w:rsidRDefault="008B3B8D" w:rsidP="001D68B0">
      <w:pPr>
        <w:spacing w:line="240" w:lineRule="auto"/>
        <w:rPr>
          <w:rFonts w:ascii="Aptos" w:hAnsi="Aptos"/>
        </w:rPr>
      </w:pPr>
      <w:r>
        <w:rPr>
          <w:rFonts w:ascii="Aptos" w:hAnsi="Aptos"/>
        </w:rPr>
        <w:t>Of course,</w:t>
      </w:r>
      <w:r w:rsidR="001D68B0">
        <w:rPr>
          <w:rFonts w:ascii="Aptos" w:hAnsi="Aptos"/>
        </w:rPr>
        <w:t xml:space="preserve"> the cause of the delays can vary, from state issues to the federal shutdown. Regardless, t</w:t>
      </w:r>
      <w:r w:rsidR="001D68B0" w:rsidRPr="00A24742">
        <w:rPr>
          <w:rFonts w:ascii="Aptos" w:hAnsi="Aptos"/>
        </w:rPr>
        <w:t xml:space="preserve">he SILC should immediately contact their ACL Program Officer and engage the </w:t>
      </w:r>
      <w:r w:rsidR="001D68B0" w:rsidRPr="00A24742">
        <w:rPr>
          <w:rFonts w:ascii="Aptos" w:hAnsi="Aptos"/>
        </w:rPr>
        <w:lastRenderedPageBreak/>
        <w:t xml:space="preserve">IL T&amp;TA Center for support. This can help open dialogue with the DSE and address payment delays. Future carryover planning </w:t>
      </w:r>
      <w:r w:rsidR="001D68B0">
        <w:rPr>
          <w:rFonts w:ascii="Aptos" w:hAnsi="Aptos"/>
        </w:rPr>
        <w:t xml:space="preserve">for Part B funds </w:t>
      </w:r>
      <w:r w:rsidR="001D68B0" w:rsidRPr="00A24742">
        <w:rPr>
          <w:rFonts w:ascii="Aptos" w:hAnsi="Aptos"/>
        </w:rPr>
        <w:t>may help prevent</w:t>
      </w:r>
      <w:r w:rsidR="001D68B0">
        <w:rPr>
          <w:rFonts w:ascii="Aptos" w:hAnsi="Aptos"/>
        </w:rPr>
        <w:t xml:space="preserve"> future</w:t>
      </w:r>
      <w:r w:rsidR="001D68B0" w:rsidRPr="00A24742">
        <w:rPr>
          <w:rFonts w:ascii="Aptos" w:hAnsi="Aptos"/>
        </w:rPr>
        <w:t xml:space="preserve"> crises.</w:t>
      </w:r>
    </w:p>
    <w:p w14:paraId="0BCA1C5B" w14:textId="77777777" w:rsidR="008B3B8D" w:rsidRPr="00153DAB" w:rsidRDefault="008B3B8D" w:rsidP="008B3B8D">
      <w:pPr>
        <w:pStyle w:val="Heading3"/>
        <w:spacing w:before="0" w:line="240" w:lineRule="auto"/>
        <w:rPr>
          <w:rFonts w:ascii="Aptos" w:hAnsi="Aptos"/>
          <w:b/>
          <w:bCs/>
          <w:sz w:val="22"/>
          <w:szCs w:val="22"/>
        </w:rPr>
      </w:pPr>
      <w:r w:rsidRPr="00153DAB">
        <w:rPr>
          <w:rFonts w:ascii="Aptos" w:hAnsi="Aptos"/>
          <w:b/>
          <w:bCs/>
          <w:sz w:val="22"/>
          <w:szCs w:val="22"/>
        </w:rPr>
        <w:t>When should SILCs begin planning for the next SPIL cycle?</w:t>
      </w:r>
    </w:p>
    <w:p w14:paraId="63AE7831" w14:textId="77777777" w:rsidR="008B3B8D" w:rsidRPr="00A24742" w:rsidRDefault="008B3B8D" w:rsidP="008B3B8D">
      <w:pPr>
        <w:spacing w:line="240" w:lineRule="auto"/>
        <w:rPr>
          <w:rFonts w:ascii="Aptos" w:hAnsi="Aptos"/>
        </w:rPr>
      </w:pPr>
      <w:r w:rsidRPr="00A24742">
        <w:rPr>
          <w:rFonts w:ascii="Aptos" w:hAnsi="Aptos"/>
        </w:rPr>
        <w:t>Planning should begin now, as the current three-year cycle is already about halfway complete.</w:t>
      </w:r>
    </w:p>
    <w:p w14:paraId="125573AB" w14:textId="77777777" w:rsidR="00153DAB" w:rsidRPr="00153DAB" w:rsidRDefault="00153DAB" w:rsidP="00153DAB">
      <w:pPr>
        <w:pStyle w:val="Heading2"/>
        <w:spacing w:before="0" w:line="240" w:lineRule="auto"/>
        <w:rPr>
          <w:b/>
          <w:bCs/>
          <w:sz w:val="22"/>
          <w:szCs w:val="22"/>
        </w:rPr>
      </w:pPr>
      <w:r w:rsidRPr="00153DAB">
        <w:rPr>
          <w:b/>
          <w:bCs/>
          <w:sz w:val="22"/>
          <w:szCs w:val="22"/>
        </w:rPr>
        <w:t>Additional Reporting Guidance</w:t>
      </w:r>
    </w:p>
    <w:p w14:paraId="734313A0" w14:textId="77777777" w:rsidR="00153DAB" w:rsidRPr="00153DAB" w:rsidRDefault="00153DAB" w:rsidP="00153DAB">
      <w:pPr>
        <w:pStyle w:val="p1"/>
        <w:numPr>
          <w:ilvl w:val="0"/>
          <w:numId w:val="12"/>
        </w:numPr>
        <w:spacing w:before="0" w:beforeAutospacing="0"/>
        <w:rPr>
          <w:rFonts w:asciiTheme="minorHAnsi" w:hAnsiTheme="minorHAnsi"/>
          <w:sz w:val="22"/>
          <w:szCs w:val="22"/>
        </w:rPr>
      </w:pPr>
      <w:r w:rsidRPr="00153DAB">
        <w:rPr>
          <w:rStyle w:val="s1"/>
          <w:rFonts w:asciiTheme="minorHAnsi" w:eastAsiaTheme="majorEastAsia" w:hAnsiTheme="minorHAnsi"/>
          <w:sz w:val="22"/>
          <w:szCs w:val="22"/>
        </w:rPr>
        <w:t>Part B “Amount” Reporting:</w:t>
      </w:r>
      <w:r w:rsidRPr="00153DAB">
        <w:rPr>
          <w:rFonts w:asciiTheme="minorHAnsi" w:hAnsiTheme="minorHAnsi"/>
          <w:sz w:val="22"/>
          <w:szCs w:val="22"/>
        </w:rPr>
        <w:t xml:space="preserve"> Enter the </w:t>
      </w:r>
      <w:r w:rsidRPr="00153DAB">
        <w:rPr>
          <w:rStyle w:val="s1"/>
          <w:rFonts w:asciiTheme="minorHAnsi" w:eastAsiaTheme="majorEastAsia" w:hAnsiTheme="minorHAnsi"/>
          <w:sz w:val="22"/>
          <w:szCs w:val="22"/>
        </w:rPr>
        <w:t>amount received for the fiscal year</w:t>
      </w:r>
      <w:r w:rsidRPr="00153DAB">
        <w:rPr>
          <w:rFonts w:asciiTheme="minorHAnsi" w:hAnsiTheme="minorHAnsi"/>
          <w:sz w:val="22"/>
          <w:szCs w:val="22"/>
        </w:rPr>
        <w:t xml:space="preserve"> from the Notice of Award, not expenditures or carryover.</w:t>
      </w:r>
    </w:p>
    <w:p w14:paraId="6F54DD47" w14:textId="77777777" w:rsidR="00153DAB" w:rsidRPr="00153DAB" w:rsidRDefault="00153DAB" w:rsidP="00153DAB">
      <w:pPr>
        <w:pStyle w:val="p1"/>
        <w:numPr>
          <w:ilvl w:val="0"/>
          <w:numId w:val="12"/>
        </w:numPr>
        <w:spacing w:before="0" w:beforeAutospacing="0"/>
        <w:rPr>
          <w:rFonts w:asciiTheme="minorHAnsi" w:hAnsiTheme="minorHAnsi"/>
          <w:sz w:val="22"/>
          <w:szCs w:val="22"/>
        </w:rPr>
      </w:pPr>
      <w:r w:rsidRPr="00153DAB">
        <w:rPr>
          <w:rStyle w:val="s1"/>
          <w:rFonts w:asciiTheme="minorHAnsi" w:eastAsiaTheme="majorEastAsia" w:hAnsiTheme="minorHAnsi"/>
          <w:sz w:val="22"/>
          <w:szCs w:val="22"/>
        </w:rPr>
        <w:t>Vacancies:</w:t>
      </w:r>
      <w:r w:rsidRPr="00153DAB">
        <w:rPr>
          <w:rFonts w:asciiTheme="minorHAnsi" w:hAnsiTheme="minorHAnsi"/>
          <w:sz w:val="22"/>
          <w:szCs w:val="22"/>
        </w:rPr>
        <w:t xml:space="preserve"> You may write “Vacancy” directly in the composition table.</w:t>
      </w:r>
    </w:p>
    <w:p w14:paraId="2C8C145A" w14:textId="5FCD9DBC" w:rsidR="00153DAB" w:rsidRDefault="00153DAB" w:rsidP="00153DAB">
      <w:pPr>
        <w:pStyle w:val="p1"/>
        <w:numPr>
          <w:ilvl w:val="0"/>
          <w:numId w:val="12"/>
        </w:numPr>
        <w:spacing w:before="0" w:beforeAutospacing="0"/>
        <w:rPr>
          <w:rFonts w:asciiTheme="minorHAnsi" w:hAnsiTheme="minorHAnsi"/>
          <w:sz w:val="22"/>
          <w:szCs w:val="22"/>
        </w:rPr>
      </w:pPr>
      <w:r w:rsidRPr="00153DAB">
        <w:rPr>
          <w:rStyle w:val="s1"/>
          <w:rFonts w:asciiTheme="minorHAnsi" w:eastAsiaTheme="majorEastAsia" w:hAnsiTheme="minorHAnsi"/>
          <w:sz w:val="22"/>
          <w:szCs w:val="22"/>
        </w:rPr>
        <w:t>Narratives Matter:</w:t>
      </w:r>
      <w:r w:rsidRPr="00153DAB">
        <w:rPr>
          <w:rFonts w:asciiTheme="minorHAnsi" w:hAnsiTheme="minorHAnsi"/>
          <w:sz w:val="22"/>
          <w:szCs w:val="22"/>
        </w:rPr>
        <w:t xml:space="preserve"> Subpart VI (A–C) is the appropriate place to explain anomalies, appointment delays, SPIL progress, and systemic challenges. ACL values detailed context.</w:t>
      </w:r>
    </w:p>
    <w:p w14:paraId="18677CD7" w14:textId="77777777" w:rsidR="001D68B0" w:rsidRPr="001D68B0" w:rsidRDefault="001D68B0" w:rsidP="001D68B0">
      <w:pPr>
        <w:pStyle w:val="p1"/>
        <w:spacing w:before="0" w:beforeAutospacing="0"/>
        <w:rPr>
          <w:rFonts w:asciiTheme="minorHAnsi" w:hAnsiTheme="minorHAnsi"/>
          <w:sz w:val="22"/>
          <w:szCs w:val="22"/>
        </w:rPr>
      </w:pPr>
    </w:p>
    <w:sectPr w:rsidR="001D68B0" w:rsidRPr="001D68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64DE" w14:textId="77777777" w:rsidR="00AD52D7" w:rsidRDefault="00AD52D7" w:rsidP="003B3186">
      <w:pPr>
        <w:spacing w:after="0" w:line="240" w:lineRule="auto"/>
      </w:pPr>
      <w:r>
        <w:separator/>
      </w:r>
    </w:p>
  </w:endnote>
  <w:endnote w:type="continuationSeparator" w:id="0">
    <w:p w14:paraId="5662F706" w14:textId="77777777" w:rsidR="00AD52D7" w:rsidRDefault="00AD52D7" w:rsidP="003B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3EED" w14:textId="77777777" w:rsidR="008B3B8D" w:rsidRDefault="008B3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440D" w14:textId="77777777" w:rsidR="008B3B8D" w:rsidRDefault="008B3B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6B13" w14:textId="77777777" w:rsidR="008B3B8D" w:rsidRDefault="008B3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7266" w14:textId="77777777" w:rsidR="00AD52D7" w:rsidRDefault="00AD52D7" w:rsidP="003B3186">
      <w:pPr>
        <w:spacing w:after="0" w:line="240" w:lineRule="auto"/>
      </w:pPr>
      <w:r>
        <w:separator/>
      </w:r>
    </w:p>
  </w:footnote>
  <w:footnote w:type="continuationSeparator" w:id="0">
    <w:p w14:paraId="5AEE6890" w14:textId="77777777" w:rsidR="00AD52D7" w:rsidRDefault="00AD52D7" w:rsidP="003B3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9908" w14:textId="77777777" w:rsidR="008B3B8D" w:rsidRDefault="008B3B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92A8" w14:textId="77777777" w:rsidR="008B3B8D" w:rsidRDefault="008B3B8D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Independent Living Services (ILS)</w:t>
    </w:r>
  </w:p>
  <w:p w14:paraId="21E21960" w14:textId="6AF1517C" w:rsidR="00153DAB" w:rsidRPr="008B3B8D" w:rsidRDefault="008B3B8D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 xml:space="preserve">Program Performance Report (PPR) </w:t>
    </w:r>
    <w:r w:rsidR="003B3186" w:rsidRPr="00153DAB">
      <w:rPr>
        <w:rFonts w:asciiTheme="majorHAnsi" w:hAnsiTheme="majorHAnsi"/>
      </w:rPr>
      <w:t>Questions &amp; Answers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8AE2" w14:textId="77777777" w:rsidR="008B3B8D" w:rsidRDefault="008B3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5693"/>
    <w:multiLevelType w:val="multilevel"/>
    <w:tmpl w:val="35F4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24C2C"/>
    <w:multiLevelType w:val="multilevel"/>
    <w:tmpl w:val="E300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83335"/>
    <w:multiLevelType w:val="multilevel"/>
    <w:tmpl w:val="52E0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556B6"/>
    <w:multiLevelType w:val="multilevel"/>
    <w:tmpl w:val="A7D6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6238F"/>
    <w:multiLevelType w:val="multilevel"/>
    <w:tmpl w:val="E17C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C4CCD"/>
    <w:multiLevelType w:val="multilevel"/>
    <w:tmpl w:val="2D9C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F5A56"/>
    <w:multiLevelType w:val="multilevel"/>
    <w:tmpl w:val="D650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74987"/>
    <w:multiLevelType w:val="multilevel"/>
    <w:tmpl w:val="E9C4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57DA7"/>
    <w:multiLevelType w:val="multilevel"/>
    <w:tmpl w:val="9FC2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0A5BC6"/>
    <w:multiLevelType w:val="multilevel"/>
    <w:tmpl w:val="F614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40230"/>
    <w:multiLevelType w:val="multilevel"/>
    <w:tmpl w:val="1696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B84FB0"/>
    <w:multiLevelType w:val="multilevel"/>
    <w:tmpl w:val="900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487729">
    <w:abstractNumId w:val="9"/>
  </w:num>
  <w:num w:numId="2" w16cid:durableId="1743403619">
    <w:abstractNumId w:val="0"/>
  </w:num>
  <w:num w:numId="3" w16cid:durableId="810899423">
    <w:abstractNumId w:val="1"/>
  </w:num>
  <w:num w:numId="4" w16cid:durableId="1901747989">
    <w:abstractNumId w:val="4"/>
  </w:num>
  <w:num w:numId="5" w16cid:durableId="746420594">
    <w:abstractNumId w:val="11"/>
  </w:num>
  <w:num w:numId="6" w16cid:durableId="264769141">
    <w:abstractNumId w:val="6"/>
  </w:num>
  <w:num w:numId="7" w16cid:durableId="1772505991">
    <w:abstractNumId w:val="7"/>
  </w:num>
  <w:num w:numId="8" w16cid:durableId="375156291">
    <w:abstractNumId w:val="5"/>
  </w:num>
  <w:num w:numId="9" w16cid:durableId="885264956">
    <w:abstractNumId w:val="8"/>
  </w:num>
  <w:num w:numId="10" w16cid:durableId="525293931">
    <w:abstractNumId w:val="3"/>
  </w:num>
  <w:num w:numId="11" w16cid:durableId="1140150096">
    <w:abstractNumId w:val="10"/>
  </w:num>
  <w:num w:numId="12" w16cid:durableId="25166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7C"/>
    <w:rsid w:val="00007F9F"/>
    <w:rsid w:val="00102E07"/>
    <w:rsid w:val="00110CE2"/>
    <w:rsid w:val="00153DAB"/>
    <w:rsid w:val="00166A75"/>
    <w:rsid w:val="001D68B0"/>
    <w:rsid w:val="00283C3F"/>
    <w:rsid w:val="003B3186"/>
    <w:rsid w:val="0045497F"/>
    <w:rsid w:val="004A6F0A"/>
    <w:rsid w:val="00505799"/>
    <w:rsid w:val="0073717C"/>
    <w:rsid w:val="007F235F"/>
    <w:rsid w:val="008B3B8D"/>
    <w:rsid w:val="009138BB"/>
    <w:rsid w:val="00AB4925"/>
    <w:rsid w:val="00AD52D7"/>
    <w:rsid w:val="00C56E5E"/>
    <w:rsid w:val="00C83603"/>
    <w:rsid w:val="00D00679"/>
    <w:rsid w:val="00D3176C"/>
    <w:rsid w:val="00D8102D"/>
    <w:rsid w:val="00DD6037"/>
    <w:rsid w:val="00E8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0A8D0"/>
  <w15:chartTrackingRefBased/>
  <w15:docId w15:val="{F0916CC7-9AB2-4D8B-9B5B-BCB1D3F9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7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7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37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1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71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1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3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186"/>
  </w:style>
  <w:style w:type="paragraph" w:styleId="Footer">
    <w:name w:val="footer"/>
    <w:basedOn w:val="Normal"/>
    <w:link w:val="FooterChar"/>
    <w:uiPriority w:val="99"/>
    <w:unhideWhenUsed/>
    <w:rsid w:val="003B3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186"/>
  </w:style>
  <w:style w:type="paragraph" w:customStyle="1" w:styleId="p1">
    <w:name w:val="p1"/>
    <w:basedOn w:val="Normal"/>
    <w:rsid w:val="0015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153DAB"/>
  </w:style>
  <w:style w:type="paragraph" w:customStyle="1" w:styleId="p3">
    <w:name w:val="p3"/>
    <w:basedOn w:val="Normal"/>
    <w:rsid w:val="0015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153DAB"/>
  </w:style>
  <w:style w:type="paragraph" w:customStyle="1" w:styleId="p4">
    <w:name w:val="p4"/>
    <w:basedOn w:val="Normal"/>
    <w:rsid w:val="0015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153DAB"/>
  </w:style>
  <w:style w:type="paragraph" w:styleId="Revision">
    <w:name w:val="Revision"/>
    <w:hidden/>
    <w:uiPriority w:val="99"/>
    <w:semiHidden/>
    <w:rsid w:val="004A6F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6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68B0"/>
    <w:pPr>
      <w:spacing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68B0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Vega, Jose</dc:creator>
  <cp:keywords/>
  <dc:description/>
  <cp:lastModifiedBy>Morris, Tyler</cp:lastModifiedBy>
  <cp:revision>2</cp:revision>
  <dcterms:created xsi:type="dcterms:W3CDTF">2026-01-21T14:04:00Z</dcterms:created>
  <dcterms:modified xsi:type="dcterms:W3CDTF">2026-01-21T14:04:00Z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3589228f-42f7-4563-8ca3-fdbd16231d45</vt:lpwstr>
  </property>
</Properties>
</file>