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FABE" w14:textId="77777777" w:rsidR="0024349D" w:rsidRPr="00BA2366" w:rsidRDefault="0024349D" w:rsidP="00413341">
      <w:pPr>
        <w:pStyle w:val="Heading1"/>
        <w:spacing w:before="120"/>
      </w:pPr>
      <w:r w:rsidRPr="00BA2366">
        <w:t>Practical Considerations for the IL Network</w:t>
      </w:r>
    </w:p>
    <w:p w14:paraId="0617557C" w14:textId="64A3A14C" w:rsidR="004E2D6A" w:rsidRPr="004E2D6A" w:rsidRDefault="004E2D6A" w:rsidP="004E2D6A">
      <w:pPr>
        <w:pStyle w:val="Heading1"/>
        <w:spacing w:before="0" w:line="276" w:lineRule="auto"/>
        <w:rPr>
          <w:rFonts w:asciiTheme="minorHAnsi" w:eastAsiaTheme="minorHAnsi" w:hAnsiTheme="minorHAnsi" w:cstheme="minorBidi"/>
          <w:color w:val="auto"/>
          <w:sz w:val="24"/>
          <w:szCs w:val="24"/>
        </w:rPr>
      </w:pPr>
      <w:r w:rsidRPr="004E2D6A">
        <w:rPr>
          <w:rFonts w:asciiTheme="minorHAnsi" w:eastAsiaTheme="minorHAnsi" w:hAnsiTheme="minorHAnsi" w:cstheme="minorBidi"/>
          <w:color w:val="auto"/>
          <w:sz w:val="24"/>
          <w:szCs w:val="24"/>
        </w:rPr>
        <w:t xml:space="preserve">Independent Living is built on inclusion, consumer control, peer support, self-direction, and full participation. Communication access directly impacts whether Deaf consumers </w:t>
      </w:r>
      <w:proofErr w:type="gramStart"/>
      <w:r w:rsidRPr="004E2D6A">
        <w:rPr>
          <w:rFonts w:asciiTheme="minorHAnsi" w:eastAsiaTheme="minorHAnsi" w:hAnsiTheme="minorHAnsi" w:cstheme="minorBidi"/>
          <w:color w:val="auto"/>
          <w:sz w:val="24"/>
          <w:szCs w:val="24"/>
        </w:rPr>
        <w:t>are able to</w:t>
      </w:r>
      <w:proofErr w:type="gramEnd"/>
      <w:r w:rsidRPr="004E2D6A">
        <w:rPr>
          <w:rFonts w:asciiTheme="minorHAnsi" w:eastAsiaTheme="minorHAnsi" w:hAnsiTheme="minorHAnsi" w:cstheme="minorBidi"/>
          <w:color w:val="auto"/>
          <w:sz w:val="24"/>
          <w:szCs w:val="24"/>
        </w:rPr>
        <w:t xml:space="preserve"> fully engage in Independent Living services, decision-making, advocacy, and community participation.</w:t>
      </w:r>
    </w:p>
    <w:p w14:paraId="07468B19" w14:textId="746FD50C" w:rsidR="004E2D6A" w:rsidRPr="004E2D6A" w:rsidRDefault="004E2D6A" w:rsidP="004E2D6A">
      <w:pPr>
        <w:pStyle w:val="Heading1"/>
        <w:spacing w:before="0" w:line="276" w:lineRule="auto"/>
        <w:rPr>
          <w:rFonts w:asciiTheme="minorHAnsi" w:eastAsiaTheme="minorHAnsi" w:hAnsiTheme="minorHAnsi" w:cstheme="minorBidi"/>
          <w:color w:val="auto"/>
          <w:sz w:val="24"/>
          <w:szCs w:val="24"/>
        </w:rPr>
      </w:pPr>
      <w:r w:rsidRPr="004E2D6A">
        <w:rPr>
          <w:rFonts w:asciiTheme="minorHAnsi" w:eastAsiaTheme="minorHAnsi" w:hAnsiTheme="minorHAnsi" w:cstheme="minorBidi"/>
          <w:color w:val="auto"/>
          <w:sz w:val="24"/>
          <w:szCs w:val="24"/>
        </w:rPr>
        <w:t>At the same time, engagement with Deaf and Hard of Hearing consumers across the IL Network has steadily declined over time. While there is no single reason for this decline, it raises important questions about communication access, outreach, trust, participation, and organizational readiness.</w:t>
      </w:r>
    </w:p>
    <w:p w14:paraId="04A6AF6E" w14:textId="77777777" w:rsidR="004E2D6A" w:rsidRDefault="004E2D6A" w:rsidP="004E2D6A">
      <w:pPr>
        <w:pStyle w:val="Heading1"/>
        <w:spacing w:before="0" w:line="276" w:lineRule="auto"/>
        <w:rPr>
          <w:rFonts w:asciiTheme="minorHAnsi" w:eastAsiaTheme="minorHAnsi" w:hAnsiTheme="minorHAnsi" w:cstheme="minorBidi"/>
          <w:color w:val="auto"/>
          <w:sz w:val="24"/>
          <w:szCs w:val="24"/>
        </w:rPr>
      </w:pPr>
      <w:r w:rsidRPr="004E2D6A">
        <w:rPr>
          <w:rFonts w:asciiTheme="minorHAnsi" w:eastAsiaTheme="minorHAnsi" w:hAnsiTheme="minorHAnsi" w:cstheme="minorBidi"/>
          <w:color w:val="auto"/>
          <w:sz w:val="24"/>
          <w:szCs w:val="24"/>
        </w:rPr>
        <w:t>This resource is intended to help IL organizations strengthen communication access practices in realistic, operational, and sustainable ways.</w:t>
      </w:r>
    </w:p>
    <w:p w14:paraId="4AD1F31E" w14:textId="014D118B" w:rsidR="008530D0" w:rsidRDefault="008530D0" w:rsidP="004E2D6A">
      <w:pPr>
        <w:pStyle w:val="Heading1"/>
      </w:pPr>
      <w:r>
        <w:t>Why This Matters to the IL Network</w:t>
      </w:r>
    </w:p>
    <w:p w14:paraId="4E906777" w14:textId="77777777" w:rsidR="004E2D6A" w:rsidRPr="004E2D6A" w:rsidRDefault="004E2D6A" w:rsidP="004E2D6A">
      <w:pPr>
        <w:pStyle w:val="ListParagraph"/>
        <w:numPr>
          <w:ilvl w:val="0"/>
          <w:numId w:val="16"/>
        </w:numPr>
      </w:pPr>
      <w:r w:rsidRPr="004E2D6A">
        <w:t xml:space="preserve">There has been a consistent decline in reported Deaf and Hard of Hearing consumers across the IL Network over recent years </w:t>
      </w:r>
    </w:p>
    <w:p w14:paraId="14DE13DA" w14:textId="77777777" w:rsidR="004E2D6A" w:rsidRPr="004E2D6A" w:rsidRDefault="004E2D6A" w:rsidP="004E2D6A">
      <w:pPr>
        <w:pStyle w:val="ListParagraph"/>
        <w:numPr>
          <w:ilvl w:val="0"/>
          <w:numId w:val="16"/>
        </w:numPr>
      </w:pPr>
      <w:r w:rsidRPr="004E2D6A">
        <w:t xml:space="preserve">In FY24, only 2.9% of IL consumers were reported as Deaf or Hard of Hearing </w:t>
      </w:r>
    </w:p>
    <w:p w14:paraId="26AC60F2" w14:textId="77777777" w:rsidR="004E2D6A" w:rsidRPr="004E2D6A" w:rsidRDefault="004E2D6A" w:rsidP="004E2D6A">
      <w:pPr>
        <w:pStyle w:val="ListParagraph"/>
        <w:numPr>
          <w:ilvl w:val="0"/>
          <w:numId w:val="16"/>
        </w:numPr>
      </w:pPr>
      <w:r w:rsidRPr="004E2D6A">
        <w:t xml:space="preserve">National Census data estimates that 27% of the disability population reports having a hearing difficulty </w:t>
      </w:r>
    </w:p>
    <w:p w14:paraId="3E0FFA15" w14:textId="77777777" w:rsidR="004E2D6A" w:rsidRPr="004E2D6A" w:rsidRDefault="004E2D6A" w:rsidP="004E2D6A">
      <w:pPr>
        <w:pStyle w:val="ListParagraph"/>
        <w:numPr>
          <w:ilvl w:val="0"/>
          <w:numId w:val="16"/>
        </w:numPr>
      </w:pPr>
      <w:r w:rsidRPr="004E2D6A">
        <w:t xml:space="preserve">While these measures are not directly equivalent, the disparity highlights an ongoing challenge in engagement, outreach, communication access, and participation </w:t>
      </w:r>
    </w:p>
    <w:p w14:paraId="05F9CD20" w14:textId="77777777" w:rsidR="004E2D6A" w:rsidRPr="004E2D6A" w:rsidRDefault="004E2D6A" w:rsidP="004E2D6A">
      <w:pPr>
        <w:pStyle w:val="ListParagraph"/>
        <w:numPr>
          <w:ilvl w:val="0"/>
          <w:numId w:val="16"/>
        </w:numPr>
      </w:pPr>
      <w:r w:rsidRPr="004E2D6A">
        <w:t xml:space="preserve">Communication access is not separate from Independent Living philosophy - it directly impacts informed choice, peer connection, autonomy, participation, and trust </w:t>
      </w:r>
    </w:p>
    <w:p w14:paraId="5B3F01C4" w14:textId="77777777" w:rsidR="004E2D6A" w:rsidRPr="004E2D6A" w:rsidRDefault="004E2D6A" w:rsidP="004E2D6A">
      <w:pPr>
        <w:rPr>
          <w:b/>
          <w:bCs/>
        </w:rPr>
      </w:pPr>
      <w:r w:rsidRPr="004E2D6A">
        <w:rPr>
          <w:b/>
          <w:bCs/>
        </w:rPr>
        <w:t xml:space="preserve">Communication access is not only about accommodations - </w:t>
      </w:r>
      <w:proofErr w:type="gramStart"/>
      <w:r w:rsidRPr="004E2D6A">
        <w:rPr>
          <w:b/>
          <w:bCs/>
        </w:rPr>
        <w:t>it</w:t>
      </w:r>
      <w:proofErr w:type="gramEnd"/>
      <w:r w:rsidRPr="004E2D6A">
        <w:rPr>
          <w:b/>
          <w:bCs/>
        </w:rPr>
        <w:t xml:space="preserve"> shapes whether people feel informed, included, respected, and able to fully participate.</w:t>
      </w:r>
    </w:p>
    <w:p w14:paraId="1B339E70" w14:textId="77777777" w:rsidR="004E2D6A" w:rsidRPr="007935DA" w:rsidRDefault="004E2D6A" w:rsidP="004E2D6A">
      <w:r w:rsidRPr="007935DA">
        <w:t>IL organizations do not have to solve communication access alone - but we do have to ensure communication barriers are not what prevent Deaf consumers from engaging with Independent Living services and communities.</w:t>
      </w:r>
    </w:p>
    <w:p w14:paraId="18D8A135" w14:textId="7BDB6661" w:rsidR="0024349D" w:rsidRDefault="0024349D" w:rsidP="008530D0">
      <w:pPr>
        <w:pStyle w:val="Heading1"/>
        <w:rPr>
          <w:rFonts w:eastAsia="Times New Roman"/>
        </w:rPr>
      </w:pPr>
      <w:r w:rsidRPr="00BA2366">
        <w:rPr>
          <w:rFonts w:eastAsia="Times New Roman"/>
        </w:rPr>
        <w:t xml:space="preserve">Building Communication Access into </w:t>
      </w:r>
      <w:r w:rsidR="004E2D6A">
        <w:rPr>
          <w:rFonts w:eastAsia="Times New Roman"/>
        </w:rPr>
        <w:t xml:space="preserve">Everyday </w:t>
      </w:r>
      <w:r w:rsidRPr="00BA2366">
        <w:rPr>
          <w:rFonts w:eastAsia="Times New Roman"/>
        </w:rPr>
        <w:t>Operations</w:t>
      </w:r>
    </w:p>
    <w:p w14:paraId="545223BF" w14:textId="77777777" w:rsidR="00BF20B7" w:rsidRDefault="00BF20B7" w:rsidP="00BF20B7">
      <w:pPr>
        <w:pStyle w:val="Heading2"/>
      </w:pPr>
      <w:r>
        <w:t>Organizational Practices &amp; Internal Readiness</w:t>
      </w:r>
    </w:p>
    <w:p w14:paraId="6E322CED" w14:textId="77777777" w:rsidR="00BF20B7" w:rsidRDefault="00BF20B7" w:rsidP="00BF20B7">
      <w:pPr>
        <w:numPr>
          <w:ilvl w:val="0"/>
          <w:numId w:val="18"/>
        </w:numPr>
        <w:spacing w:after="100" w:afterAutospacing="1" w:line="240" w:lineRule="auto"/>
      </w:pPr>
      <w:r>
        <w:t xml:space="preserve">Train staff across roles on communication access expectations and practices </w:t>
      </w:r>
    </w:p>
    <w:p w14:paraId="15F2786F" w14:textId="77777777" w:rsidR="00BF20B7" w:rsidRDefault="00BF20B7" w:rsidP="00BF20B7">
      <w:pPr>
        <w:numPr>
          <w:ilvl w:val="0"/>
          <w:numId w:val="18"/>
        </w:numPr>
        <w:spacing w:before="100" w:beforeAutospacing="1" w:after="100" w:afterAutospacing="1" w:line="240" w:lineRule="auto"/>
      </w:pPr>
      <w:r>
        <w:t xml:space="preserve">Reduce assumptions about communication preferences or language comprehension </w:t>
      </w:r>
    </w:p>
    <w:p w14:paraId="12030960" w14:textId="77777777" w:rsidR="00BF20B7" w:rsidRDefault="00BF20B7" w:rsidP="00BF20B7">
      <w:pPr>
        <w:numPr>
          <w:ilvl w:val="0"/>
          <w:numId w:val="18"/>
        </w:numPr>
        <w:spacing w:before="100" w:beforeAutospacing="1" w:after="100" w:afterAutospacing="1" w:line="240" w:lineRule="auto"/>
      </w:pPr>
      <w:r>
        <w:t xml:space="preserve">Recognize that communication needs may shift depending on setting, stress, technology, or complexity </w:t>
      </w:r>
    </w:p>
    <w:p w14:paraId="198B738E" w14:textId="77777777" w:rsidR="00BF20B7" w:rsidRDefault="00BF20B7" w:rsidP="00BF20B7">
      <w:pPr>
        <w:numPr>
          <w:ilvl w:val="0"/>
          <w:numId w:val="18"/>
        </w:numPr>
        <w:spacing w:before="100" w:beforeAutospacing="1" w:after="100" w:afterAutospacing="1" w:line="240" w:lineRule="auto"/>
      </w:pPr>
      <w:r>
        <w:t xml:space="preserve">Understand that delayed follow-through may reflect communication barriers or access fatigue — not disinterest </w:t>
      </w:r>
    </w:p>
    <w:p w14:paraId="15DCD399" w14:textId="77777777" w:rsidR="00BF20B7" w:rsidRDefault="00BF20B7" w:rsidP="00BF20B7">
      <w:pPr>
        <w:numPr>
          <w:ilvl w:val="0"/>
          <w:numId w:val="18"/>
        </w:numPr>
        <w:spacing w:before="100" w:beforeAutospacing="1" w:after="100" w:afterAutospacing="1" w:line="240" w:lineRule="auto"/>
      </w:pPr>
      <w:r>
        <w:lastRenderedPageBreak/>
        <w:t xml:space="preserve">Build relationships with local interpreters, Deaf community organizations, and communication access providers </w:t>
      </w:r>
    </w:p>
    <w:p w14:paraId="53AE5339" w14:textId="77777777" w:rsidR="00BF20B7" w:rsidRDefault="00BF20B7" w:rsidP="00BF20B7">
      <w:pPr>
        <w:numPr>
          <w:ilvl w:val="0"/>
          <w:numId w:val="18"/>
        </w:numPr>
        <w:spacing w:before="100" w:beforeAutospacing="1" w:after="100" w:afterAutospacing="1" w:line="240" w:lineRule="auto"/>
      </w:pPr>
      <w:r>
        <w:t xml:space="preserve">Include Deaf perspectives when reviewing communication access practices whenever possible </w:t>
      </w:r>
    </w:p>
    <w:p w14:paraId="61BB85DA" w14:textId="77777777" w:rsidR="00BF20B7" w:rsidRDefault="00BF20B7" w:rsidP="00BF20B7">
      <w:pPr>
        <w:numPr>
          <w:ilvl w:val="0"/>
          <w:numId w:val="18"/>
        </w:numPr>
        <w:spacing w:before="100" w:beforeAutospacing="1" w:after="100" w:afterAutospacing="1" w:line="240" w:lineRule="auto"/>
      </w:pPr>
      <w:r>
        <w:t xml:space="preserve">Track recurring barriers, delays, or communication challenges to identify patterns that may impact participation and engagement </w:t>
      </w:r>
    </w:p>
    <w:p w14:paraId="3AAB2FB6" w14:textId="45F85276" w:rsidR="00BF20B7" w:rsidRPr="00BF20B7" w:rsidRDefault="00BF20B7" w:rsidP="00BF20B7">
      <w:pPr>
        <w:rPr>
          <w:b/>
          <w:bCs/>
        </w:rPr>
      </w:pPr>
      <w:r w:rsidRPr="007935DA">
        <w:rPr>
          <w:b/>
          <w:bCs/>
        </w:rPr>
        <w:t>Small communication barriers repeated over time can become larger barriers to trust, participation, and connection.</w:t>
      </w:r>
    </w:p>
    <w:p w14:paraId="5E92C63B" w14:textId="77777777" w:rsidR="004E2D6A" w:rsidRDefault="004E2D6A" w:rsidP="004E2D6A">
      <w:pPr>
        <w:pStyle w:val="Heading2"/>
      </w:pPr>
      <w:r>
        <w:t>Intake, Scheduling &amp; Service Coordination</w:t>
      </w:r>
    </w:p>
    <w:p w14:paraId="3FCBA784" w14:textId="77777777" w:rsidR="004E2D6A" w:rsidRDefault="004E2D6A" w:rsidP="004E2D6A">
      <w:pPr>
        <w:numPr>
          <w:ilvl w:val="0"/>
          <w:numId w:val="17"/>
        </w:numPr>
        <w:spacing w:before="100" w:beforeAutospacing="1" w:after="100" w:afterAutospacing="1" w:line="240" w:lineRule="auto"/>
      </w:pPr>
      <w:r>
        <w:t xml:space="preserve">Ask about communication access needs early during intake, registration, and scheduling </w:t>
      </w:r>
    </w:p>
    <w:p w14:paraId="02E64F58" w14:textId="77777777" w:rsidR="004E2D6A" w:rsidRDefault="004E2D6A" w:rsidP="004E2D6A">
      <w:pPr>
        <w:numPr>
          <w:ilvl w:val="0"/>
          <w:numId w:val="17"/>
        </w:numPr>
        <w:spacing w:before="100" w:beforeAutospacing="1" w:after="100" w:afterAutospacing="1" w:line="240" w:lineRule="auto"/>
      </w:pPr>
      <w:r>
        <w:t xml:space="preserve">Document preferred communication methods and backup communication options when appropriate </w:t>
      </w:r>
    </w:p>
    <w:p w14:paraId="587E9505" w14:textId="77777777" w:rsidR="004E2D6A" w:rsidRDefault="004E2D6A" w:rsidP="004E2D6A">
      <w:pPr>
        <w:numPr>
          <w:ilvl w:val="0"/>
          <w:numId w:val="17"/>
        </w:numPr>
        <w:spacing w:before="100" w:beforeAutospacing="1" w:after="100" w:afterAutospacing="1" w:line="240" w:lineRule="auto"/>
      </w:pPr>
      <w:r>
        <w:t xml:space="preserve">Confirm communication access arrangements before meetings, trainings, appointments, or events </w:t>
      </w:r>
    </w:p>
    <w:p w14:paraId="0B27C78D" w14:textId="77777777" w:rsidR="004E2D6A" w:rsidRDefault="004E2D6A" w:rsidP="004E2D6A">
      <w:pPr>
        <w:numPr>
          <w:ilvl w:val="0"/>
          <w:numId w:val="17"/>
        </w:numPr>
        <w:spacing w:before="100" w:beforeAutospacing="1" w:after="100" w:afterAutospacing="1" w:line="240" w:lineRule="auto"/>
      </w:pPr>
      <w:r>
        <w:t xml:space="preserve">Share agendas, forms, instructions, and materials in advance whenever possible </w:t>
      </w:r>
    </w:p>
    <w:p w14:paraId="101F1177" w14:textId="77777777" w:rsidR="004E2D6A" w:rsidRDefault="004E2D6A" w:rsidP="004E2D6A">
      <w:pPr>
        <w:numPr>
          <w:ilvl w:val="0"/>
          <w:numId w:val="17"/>
        </w:numPr>
        <w:spacing w:before="100" w:beforeAutospacing="1" w:after="100" w:afterAutospacing="1" w:line="240" w:lineRule="auto"/>
      </w:pPr>
      <w:r>
        <w:t>Build communication access planning into outreach, events, and service coordination from the beginning instead of reacting after barriers appear</w:t>
      </w:r>
    </w:p>
    <w:p w14:paraId="693713AD" w14:textId="77777777" w:rsidR="0024349D" w:rsidRPr="00BA2366" w:rsidRDefault="0024349D" w:rsidP="008530D0">
      <w:pPr>
        <w:pStyle w:val="Heading2"/>
        <w:rPr>
          <w:rFonts w:eastAsia="Times New Roman"/>
        </w:rPr>
      </w:pPr>
      <w:r w:rsidRPr="00BA2366">
        <w:rPr>
          <w:rFonts w:eastAsia="Times New Roman"/>
        </w:rPr>
        <w:t>Communication Access Tools &amp; Strategies</w:t>
      </w:r>
    </w:p>
    <w:p w14:paraId="00FAB9C1" w14:textId="77777777" w:rsidR="0024349D" w:rsidRPr="007935DA" w:rsidRDefault="0024349D" w:rsidP="0024349D">
      <w:pPr>
        <w:spacing w:before="100" w:beforeAutospacing="1" w:after="100" w:afterAutospacing="1" w:line="240" w:lineRule="auto"/>
        <w:rPr>
          <w:rFonts w:ascii="Aptos Display" w:eastAsia="Times New Roman" w:hAnsi="Aptos Display" w:cs="Times New Roman"/>
          <w:kern w:val="0"/>
          <w14:ligatures w14:val="none"/>
        </w:rPr>
      </w:pPr>
      <w:r w:rsidRPr="007935DA">
        <w:rPr>
          <w:rFonts w:ascii="Aptos Display" w:eastAsia="Times New Roman" w:hAnsi="Aptos Display" w:cs="Times New Roman"/>
          <w:kern w:val="0"/>
          <w14:ligatures w14:val="none"/>
        </w:rPr>
        <w:t>Communication access tools work best as part of a broader communication ecosystem — not as a one-size-fits-all solution.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518"/>
        <w:gridCol w:w="3826"/>
        <w:gridCol w:w="4450"/>
      </w:tblGrid>
      <w:tr w:rsidR="0024349D" w:rsidRPr="00BA2366" w14:paraId="03BE99F2" w14:textId="77777777" w:rsidTr="008530D0">
        <w:trPr>
          <w:tblHeader/>
        </w:trPr>
        <w:tc>
          <w:tcPr>
            <w:tcW w:w="0" w:type="auto"/>
            <w:vAlign w:val="center"/>
            <w:hideMark/>
          </w:tcPr>
          <w:p w14:paraId="2DB4D5CA" w14:textId="77777777" w:rsidR="0024349D" w:rsidRPr="00BA2366" w:rsidRDefault="0024349D" w:rsidP="0024349D">
            <w:pPr>
              <w:spacing w:after="0" w:line="240" w:lineRule="auto"/>
              <w:jc w:val="center"/>
              <w:rPr>
                <w:rFonts w:ascii="Aptos Display" w:eastAsia="Times New Roman" w:hAnsi="Aptos Display" w:cs="Times New Roman"/>
                <w:b/>
                <w:bCs/>
                <w:kern w:val="0"/>
                <w14:ligatures w14:val="none"/>
              </w:rPr>
            </w:pPr>
            <w:r w:rsidRPr="00BA2366">
              <w:rPr>
                <w:rFonts w:ascii="Aptos Display" w:eastAsia="Times New Roman" w:hAnsi="Aptos Display" w:cs="Times New Roman"/>
                <w:b/>
                <w:bCs/>
                <w:kern w:val="0"/>
                <w14:ligatures w14:val="none"/>
              </w:rPr>
              <w:t>Communication Strategy</w:t>
            </w:r>
          </w:p>
        </w:tc>
        <w:tc>
          <w:tcPr>
            <w:tcW w:w="0" w:type="auto"/>
            <w:vAlign w:val="center"/>
            <w:hideMark/>
          </w:tcPr>
          <w:p w14:paraId="0D7A7476" w14:textId="77777777" w:rsidR="0024349D" w:rsidRPr="00BA2366" w:rsidRDefault="0024349D" w:rsidP="0024349D">
            <w:pPr>
              <w:spacing w:after="0" w:line="240" w:lineRule="auto"/>
              <w:jc w:val="center"/>
              <w:rPr>
                <w:rFonts w:ascii="Aptos Display" w:eastAsia="Times New Roman" w:hAnsi="Aptos Display" w:cs="Times New Roman"/>
                <w:b/>
                <w:bCs/>
                <w:kern w:val="0"/>
                <w14:ligatures w14:val="none"/>
              </w:rPr>
            </w:pPr>
            <w:r w:rsidRPr="00BA2366">
              <w:rPr>
                <w:rFonts w:ascii="Aptos Display" w:eastAsia="Times New Roman" w:hAnsi="Aptos Display" w:cs="Times New Roman"/>
                <w:b/>
                <w:bCs/>
                <w:kern w:val="0"/>
                <w14:ligatures w14:val="none"/>
              </w:rPr>
              <w:t>May Be Helpful When…</w:t>
            </w:r>
          </w:p>
        </w:tc>
        <w:tc>
          <w:tcPr>
            <w:tcW w:w="0" w:type="auto"/>
            <w:vAlign w:val="center"/>
            <w:hideMark/>
          </w:tcPr>
          <w:p w14:paraId="2DD29C30" w14:textId="77777777" w:rsidR="0024349D" w:rsidRPr="00BA2366" w:rsidRDefault="0024349D" w:rsidP="0024349D">
            <w:pPr>
              <w:spacing w:after="0" w:line="240" w:lineRule="auto"/>
              <w:jc w:val="center"/>
              <w:rPr>
                <w:rFonts w:ascii="Aptos Display" w:eastAsia="Times New Roman" w:hAnsi="Aptos Display" w:cs="Times New Roman"/>
                <w:b/>
                <w:bCs/>
                <w:kern w:val="0"/>
                <w14:ligatures w14:val="none"/>
              </w:rPr>
            </w:pPr>
            <w:r w:rsidRPr="00BA2366">
              <w:rPr>
                <w:rFonts w:ascii="Aptos Display" w:eastAsia="Times New Roman" w:hAnsi="Aptos Display" w:cs="Times New Roman"/>
                <w:b/>
                <w:bCs/>
                <w:kern w:val="0"/>
                <w14:ligatures w14:val="none"/>
              </w:rPr>
              <w:t>Considerations</w:t>
            </w:r>
          </w:p>
        </w:tc>
      </w:tr>
      <w:tr w:rsidR="0024349D" w:rsidRPr="00BA2366" w14:paraId="7C2AB3C3" w14:textId="77777777" w:rsidTr="008530D0">
        <w:tc>
          <w:tcPr>
            <w:tcW w:w="0" w:type="auto"/>
            <w:vAlign w:val="center"/>
            <w:hideMark/>
          </w:tcPr>
          <w:p w14:paraId="42249319"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b/>
                <w:bCs/>
                <w:kern w:val="0"/>
                <w14:ligatures w14:val="none"/>
              </w:rPr>
              <w:t>ASL Interpreter</w:t>
            </w:r>
          </w:p>
        </w:tc>
        <w:tc>
          <w:tcPr>
            <w:tcW w:w="0" w:type="auto"/>
            <w:vAlign w:val="center"/>
            <w:hideMark/>
          </w:tcPr>
          <w:p w14:paraId="102BEE6E"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Real-time conversations, meetings, services</w:t>
            </w:r>
          </w:p>
        </w:tc>
        <w:tc>
          <w:tcPr>
            <w:tcW w:w="0" w:type="auto"/>
            <w:vAlign w:val="center"/>
            <w:hideMark/>
          </w:tcPr>
          <w:p w14:paraId="0066A092" w14:textId="5EB5507A" w:rsidR="0024349D" w:rsidRPr="00BA2366" w:rsidRDefault="00A109B7" w:rsidP="0024349D">
            <w:pPr>
              <w:spacing w:after="0" w:line="240" w:lineRule="auto"/>
              <w:rPr>
                <w:rFonts w:ascii="Aptos Display" w:eastAsia="Times New Roman" w:hAnsi="Aptos Display" w:cs="Times New Roman"/>
                <w:kern w:val="0"/>
                <w14:ligatures w14:val="none"/>
              </w:rPr>
            </w:pPr>
            <w:r w:rsidRPr="00A109B7">
              <w:rPr>
                <w:rFonts w:ascii="Aptos Display" w:eastAsia="Times New Roman" w:hAnsi="Aptos Display" w:cs="Times New Roman"/>
                <w:kern w:val="0"/>
                <w14:ligatures w14:val="none"/>
              </w:rPr>
              <w:t>Does your communication require visual access and qualified interpreters?</w:t>
            </w:r>
          </w:p>
        </w:tc>
      </w:tr>
      <w:tr w:rsidR="0024349D" w:rsidRPr="00BA2366" w14:paraId="52D9CBC8" w14:textId="77777777" w:rsidTr="008530D0">
        <w:tc>
          <w:tcPr>
            <w:tcW w:w="0" w:type="auto"/>
            <w:vAlign w:val="center"/>
            <w:hideMark/>
          </w:tcPr>
          <w:p w14:paraId="0D3F3EEC"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b/>
                <w:bCs/>
                <w:kern w:val="0"/>
                <w14:ligatures w14:val="none"/>
              </w:rPr>
              <w:t>Deaf Interpreter</w:t>
            </w:r>
          </w:p>
        </w:tc>
        <w:tc>
          <w:tcPr>
            <w:tcW w:w="0" w:type="auto"/>
            <w:vAlign w:val="center"/>
            <w:hideMark/>
          </w:tcPr>
          <w:p w14:paraId="4E5DA7FE"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Complex communication needs or additional linguistic bridging</w:t>
            </w:r>
          </w:p>
        </w:tc>
        <w:tc>
          <w:tcPr>
            <w:tcW w:w="0" w:type="auto"/>
            <w:vAlign w:val="center"/>
            <w:hideMark/>
          </w:tcPr>
          <w:p w14:paraId="7A02A751" w14:textId="456C4131" w:rsidR="0024349D" w:rsidRPr="00BA2366" w:rsidRDefault="00A109B7" w:rsidP="0024349D">
            <w:pPr>
              <w:spacing w:after="0" w:line="240" w:lineRule="auto"/>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H</w:t>
            </w:r>
            <w:r w:rsidRPr="00A109B7">
              <w:rPr>
                <w:rFonts w:ascii="Aptos Display" w:eastAsia="Times New Roman" w:hAnsi="Aptos Display" w:cs="Times New Roman"/>
                <w:kern w:val="0"/>
                <w14:ligatures w14:val="none"/>
              </w:rPr>
              <w:t>ow could a Deaf Interpreter improve understanding in some situations?</w:t>
            </w:r>
          </w:p>
        </w:tc>
      </w:tr>
      <w:tr w:rsidR="0024349D" w:rsidRPr="00BA2366" w14:paraId="2A551F52" w14:textId="77777777" w:rsidTr="008530D0">
        <w:tc>
          <w:tcPr>
            <w:tcW w:w="0" w:type="auto"/>
            <w:vAlign w:val="center"/>
            <w:hideMark/>
          </w:tcPr>
          <w:p w14:paraId="086B8D27"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b/>
                <w:bCs/>
                <w:kern w:val="0"/>
                <w14:ligatures w14:val="none"/>
              </w:rPr>
              <w:t>CART / Live Captioning</w:t>
            </w:r>
          </w:p>
        </w:tc>
        <w:tc>
          <w:tcPr>
            <w:tcW w:w="0" w:type="auto"/>
            <w:vAlign w:val="center"/>
            <w:hideMark/>
          </w:tcPr>
          <w:p w14:paraId="2112CE50"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Group settings, trainings, meetings</w:t>
            </w:r>
          </w:p>
        </w:tc>
        <w:tc>
          <w:tcPr>
            <w:tcW w:w="0" w:type="auto"/>
            <w:vAlign w:val="center"/>
            <w:hideMark/>
          </w:tcPr>
          <w:p w14:paraId="69818EEE" w14:textId="3B037611" w:rsidR="0024349D" w:rsidRPr="00BA2366" w:rsidRDefault="00BF20B7" w:rsidP="0024349D">
            <w:pPr>
              <w:spacing w:after="0" w:line="240" w:lineRule="auto"/>
              <w:rPr>
                <w:rFonts w:ascii="Aptos Display" w:eastAsia="Times New Roman" w:hAnsi="Aptos Display" w:cs="Times New Roman"/>
                <w:kern w:val="0"/>
                <w14:ligatures w14:val="none"/>
              </w:rPr>
            </w:pPr>
            <w:r w:rsidRPr="00BF20B7">
              <w:rPr>
                <w:rFonts w:ascii="Aptos Display" w:eastAsia="Times New Roman" w:hAnsi="Aptos Display" w:cs="Times New Roman"/>
                <w:kern w:val="0"/>
                <w14:ligatures w14:val="none"/>
              </w:rPr>
              <w:t>Do we have strong audio quality?</w:t>
            </w:r>
          </w:p>
        </w:tc>
      </w:tr>
      <w:tr w:rsidR="0024349D" w:rsidRPr="00BA2366" w14:paraId="519C2048" w14:textId="77777777" w:rsidTr="008530D0">
        <w:tc>
          <w:tcPr>
            <w:tcW w:w="0" w:type="auto"/>
            <w:vAlign w:val="center"/>
            <w:hideMark/>
          </w:tcPr>
          <w:p w14:paraId="1E9F64FB"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b/>
                <w:bCs/>
                <w:kern w:val="0"/>
                <w14:ligatures w14:val="none"/>
              </w:rPr>
              <w:t>Captions</w:t>
            </w:r>
          </w:p>
        </w:tc>
        <w:tc>
          <w:tcPr>
            <w:tcW w:w="0" w:type="auto"/>
            <w:vAlign w:val="center"/>
            <w:hideMark/>
          </w:tcPr>
          <w:p w14:paraId="63F1C301"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Recorded/live video content</w:t>
            </w:r>
          </w:p>
        </w:tc>
        <w:tc>
          <w:tcPr>
            <w:tcW w:w="0" w:type="auto"/>
            <w:vAlign w:val="center"/>
            <w:hideMark/>
          </w:tcPr>
          <w:p w14:paraId="4CD2E4B0" w14:textId="041EEF60" w:rsidR="0024349D" w:rsidRPr="00BA2366" w:rsidRDefault="00BF20B7" w:rsidP="0024349D">
            <w:pPr>
              <w:spacing w:after="0" w:line="240" w:lineRule="auto"/>
              <w:rPr>
                <w:rFonts w:ascii="Aptos Display" w:eastAsia="Times New Roman" w:hAnsi="Aptos Display" w:cs="Times New Roman"/>
                <w:kern w:val="0"/>
                <w14:ligatures w14:val="none"/>
              </w:rPr>
            </w:pPr>
            <w:r w:rsidRPr="00BF20B7">
              <w:rPr>
                <w:rFonts w:ascii="Aptos Display" w:eastAsia="Times New Roman" w:hAnsi="Aptos Display" w:cs="Times New Roman"/>
                <w:kern w:val="0"/>
                <w14:ligatures w14:val="none"/>
              </w:rPr>
              <w:t>Will the captions be high quality and highly accurate?</w:t>
            </w:r>
          </w:p>
        </w:tc>
      </w:tr>
      <w:tr w:rsidR="0024349D" w:rsidRPr="00BA2366" w14:paraId="33D66B4E" w14:textId="77777777" w:rsidTr="008530D0">
        <w:tc>
          <w:tcPr>
            <w:tcW w:w="0" w:type="auto"/>
            <w:vAlign w:val="center"/>
            <w:hideMark/>
          </w:tcPr>
          <w:p w14:paraId="6D8F5D05"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b/>
                <w:bCs/>
                <w:kern w:val="0"/>
                <w14:ligatures w14:val="none"/>
              </w:rPr>
              <w:t>VRS / VRI</w:t>
            </w:r>
          </w:p>
        </w:tc>
        <w:tc>
          <w:tcPr>
            <w:tcW w:w="0" w:type="auto"/>
            <w:vAlign w:val="center"/>
            <w:hideMark/>
          </w:tcPr>
          <w:p w14:paraId="2FF0741D"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Remote or quick communication access</w:t>
            </w:r>
          </w:p>
        </w:tc>
        <w:tc>
          <w:tcPr>
            <w:tcW w:w="0" w:type="auto"/>
            <w:vAlign w:val="center"/>
            <w:hideMark/>
          </w:tcPr>
          <w:p w14:paraId="36A35A92" w14:textId="39F0C930" w:rsidR="0024349D" w:rsidRPr="00BA2366" w:rsidRDefault="00BF20B7" w:rsidP="0024349D">
            <w:pPr>
              <w:spacing w:after="0" w:line="240" w:lineRule="auto"/>
              <w:rPr>
                <w:rFonts w:ascii="Aptos Display" w:eastAsia="Times New Roman" w:hAnsi="Aptos Display" w:cs="Times New Roman"/>
                <w:kern w:val="0"/>
                <w14:ligatures w14:val="none"/>
              </w:rPr>
            </w:pPr>
            <w:r w:rsidRPr="00BF20B7">
              <w:rPr>
                <w:rFonts w:ascii="Aptos Display" w:eastAsia="Times New Roman" w:hAnsi="Aptos Display" w:cs="Times New Roman"/>
                <w:kern w:val="0"/>
                <w14:ligatures w14:val="none"/>
              </w:rPr>
              <w:t>Do we have strong technology, visibility, and pacing/structure for VRS/VRI?</w:t>
            </w:r>
          </w:p>
        </w:tc>
      </w:tr>
      <w:tr w:rsidR="0024349D" w:rsidRPr="00BA2366" w14:paraId="51A00EB7" w14:textId="77777777" w:rsidTr="008530D0">
        <w:tc>
          <w:tcPr>
            <w:tcW w:w="0" w:type="auto"/>
            <w:vAlign w:val="center"/>
            <w:hideMark/>
          </w:tcPr>
          <w:p w14:paraId="43DF6820"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b/>
                <w:bCs/>
                <w:kern w:val="0"/>
                <w14:ligatures w14:val="none"/>
              </w:rPr>
              <w:t>Plain Language / Visual Supports</w:t>
            </w:r>
          </w:p>
        </w:tc>
        <w:tc>
          <w:tcPr>
            <w:tcW w:w="0" w:type="auto"/>
            <w:vAlign w:val="center"/>
            <w:hideMark/>
          </w:tcPr>
          <w:p w14:paraId="6CAA76D4" w14:textId="77777777" w:rsidR="0024349D" w:rsidRPr="00BA2366" w:rsidRDefault="0024349D" w:rsidP="0024349D">
            <w:pPr>
              <w:spacing w:after="0"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Forms, instructions, high-stress, or complex situations</w:t>
            </w:r>
          </w:p>
        </w:tc>
        <w:tc>
          <w:tcPr>
            <w:tcW w:w="0" w:type="auto"/>
            <w:vAlign w:val="center"/>
            <w:hideMark/>
          </w:tcPr>
          <w:p w14:paraId="629D8FBC" w14:textId="202FC0DC" w:rsidR="0024349D" w:rsidRPr="00BA2366" w:rsidRDefault="00BF20B7" w:rsidP="0024349D">
            <w:pPr>
              <w:spacing w:after="0" w:line="240" w:lineRule="auto"/>
              <w:rPr>
                <w:rFonts w:ascii="Aptos Display" w:eastAsia="Times New Roman" w:hAnsi="Aptos Display" w:cs="Times New Roman"/>
                <w:kern w:val="0"/>
                <w14:ligatures w14:val="none"/>
              </w:rPr>
            </w:pPr>
            <w:r w:rsidRPr="00BF20B7">
              <w:rPr>
                <w:rFonts w:ascii="Aptos Display" w:eastAsia="Times New Roman" w:hAnsi="Aptos Display" w:cs="Times New Roman"/>
                <w:kern w:val="0"/>
                <w14:ligatures w14:val="none"/>
              </w:rPr>
              <w:t>Will we have a need to reduce communication complexity?</w:t>
            </w:r>
          </w:p>
        </w:tc>
      </w:tr>
    </w:tbl>
    <w:p w14:paraId="04616025" w14:textId="7F257CDE" w:rsidR="0024349D" w:rsidRDefault="0024349D" w:rsidP="0024349D">
      <w:pPr>
        <w:spacing w:after="0" w:line="240" w:lineRule="auto"/>
        <w:rPr>
          <w:rFonts w:ascii="Aptos Display" w:eastAsia="Times New Roman" w:hAnsi="Aptos Display" w:cs="Times New Roman"/>
          <w:kern w:val="0"/>
          <w14:ligatures w14:val="none"/>
        </w:rPr>
      </w:pPr>
    </w:p>
    <w:p w14:paraId="605D08F8" w14:textId="162F53D5" w:rsidR="004E2D6A" w:rsidRPr="004E2D6A" w:rsidRDefault="004E2D6A" w:rsidP="0024349D">
      <w:pPr>
        <w:spacing w:after="0" w:line="240" w:lineRule="auto"/>
        <w:rPr>
          <w:rStyle w:val="Strong"/>
        </w:rPr>
      </w:pPr>
      <w:r w:rsidRPr="004E2D6A">
        <w:rPr>
          <w:rStyle w:val="Strong"/>
        </w:rPr>
        <w:t>Effective access often comes from flexibility, layered approaches, planning, and direct communication with the Deaf consumer.</w:t>
      </w:r>
    </w:p>
    <w:p w14:paraId="26B220DE" w14:textId="77777777" w:rsidR="0024349D" w:rsidRPr="00BA2366" w:rsidRDefault="0024349D" w:rsidP="008530D0">
      <w:pPr>
        <w:pStyle w:val="Heading2"/>
        <w:spacing w:after="0"/>
        <w:rPr>
          <w:rFonts w:eastAsia="Times New Roman"/>
        </w:rPr>
      </w:pPr>
      <w:r w:rsidRPr="00BA2366">
        <w:rPr>
          <w:rFonts w:eastAsia="Times New Roman"/>
        </w:rPr>
        <w:lastRenderedPageBreak/>
        <w:t>Digital Access &amp; Communication Practices</w:t>
      </w:r>
    </w:p>
    <w:p w14:paraId="1AA3ABAF" w14:textId="77777777" w:rsidR="0024349D" w:rsidRPr="00BA2366" w:rsidRDefault="0024349D" w:rsidP="008530D0">
      <w:pPr>
        <w:numPr>
          <w:ilvl w:val="0"/>
          <w:numId w:val="7"/>
        </w:numPr>
        <w:spacing w:after="100" w:afterAutospacing="1"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 xml:space="preserve">Ensure videos and virtual content include captions </w:t>
      </w:r>
    </w:p>
    <w:p w14:paraId="13FE138C" w14:textId="77777777" w:rsidR="0024349D" w:rsidRPr="00BA2366" w:rsidRDefault="0024349D" w:rsidP="0024349D">
      <w:pPr>
        <w:numPr>
          <w:ilvl w:val="0"/>
          <w:numId w:val="7"/>
        </w:numPr>
        <w:spacing w:before="100" w:beforeAutospacing="1" w:after="100" w:afterAutospacing="1"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 xml:space="preserve">Review websites, forms, outreach materials, and social media for communication access considerations </w:t>
      </w:r>
    </w:p>
    <w:p w14:paraId="15409377" w14:textId="77777777" w:rsidR="0024349D" w:rsidRPr="00BA2366" w:rsidRDefault="0024349D" w:rsidP="0024349D">
      <w:pPr>
        <w:numPr>
          <w:ilvl w:val="0"/>
          <w:numId w:val="7"/>
        </w:numPr>
        <w:spacing w:before="100" w:beforeAutospacing="1" w:after="100" w:afterAutospacing="1"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 xml:space="preserve">Use plain language and visual supports when appropriate </w:t>
      </w:r>
    </w:p>
    <w:p w14:paraId="6965F925" w14:textId="77777777" w:rsidR="0024349D" w:rsidRPr="00BA2366" w:rsidRDefault="0024349D" w:rsidP="0024349D">
      <w:pPr>
        <w:numPr>
          <w:ilvl w:val="0"/>
          <w:numId w:val="7"/>
        </w:numPr>
        <w:spacing w:before="100" w:beforeAutospacing="1" w:after="100" w:afterAutospacing="1"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 xml:space="preserve">Consider visibility, pacing, technology limitations, and interpreter placement during virtual communication </w:t>
      </w:r>
    </w:p>
    <w:p w14:paraId="0813F422" w14:textId="77777777" w:rsidR="0024349D" w:rsidRPr="00BA2366" w:rsidRDefault="0024349D" w:rsidP="0024349D">
      <w:pPr>
        <w:numPr>
          <w:ilvl w:val="0"/>
          <w:numId w:val="7"/>
        </w:numPr>
        <w:spacing w:before="100" w:beforeAutospacing="1" w:after="100" w:afterAutospacing="1" w:line="240" w:lineRule="auto"/>
        <w:rPr>
          <w:rFonts w:ascii="Aptos Display" w:eastAsia="Times New Roman" w:hAnsi="Aptos Display" w:cs="Times New Roman"/>
          <w:kern w:val="0"/>
          <w14:ligatures w14:val="none"/>
        </w:rPr>
      </w:pPr>
      <w:r w:rsidRPr="00BA2366">
        <w:rPr>
          <w:rFonts w:ascii="Aptos Display" w:eastAsia="Times New Roman" w:hAnsi="Aptos Display" w:cs="Times New Roman"/>
          <w:kern w:val="0"/>
          <w14:ligatures w14:val="none"/>
        </w:rPr>
        <w:t xml:space="preserve">Check for understanding instead of assuming understanding </w:t>
      </w:r>
    </w:p>
    <w:p w14:paraId="49A3135E" w14:textId="03615AED" w:rsidR="00C222ED" w:rsidRPr="00A109B7" w:rsidRDefault="0024349D" w:rsidP="00BA2366">
      <w:pPr>
        <w:spacing w:before="100" w:beforeAutospacing="1" w:after="100" w:afterAutospacing="1" w:line="240" w:lineRule="auto"/>
        <w:rPr>
          <w:rFonts w:ascii="Aptos Display" w:eastAsia="Times New Roman" w:hAnsi="Aptos Display" w:cs="Times New Roman"/>
          <w:b/>
          <w:bCs/>
          <w:kern w:val="0"/>
          <w14:ligatures w14:val="none"/>
        </w:rPr>
      </w:pPr>
      <w:r w:rsidRPr="00A109B7">
        <w:rPr>
          <w:rFonts w:ascii="Aptos Display" w:eastAsia="Times New Roman" w:hAnsi="Aptos Display" w:cs="Times New Roman"/>
          <w:b/>
          <w:bCs/>
          <w:kern w:val="0"/>
          <w14:ligatures w14:val="none"/>
        </w:rPr>
        <w:t>Access also shows up in how information is designed, shared, and checked for understanding.</w:t>
      </w:r>
    </w:p>
    <w:p w14:paraId="50CA0768" w14:textId="77777777" w:rsidR="001609D8" w:rsidRDefault="001609D8" w:rsidP="001609D8">
      <w:pPr>
        <w:pStyle w:val="Heading2"/>
        <w:spacing w:after="0"/>
      </w:pPr>
      <w:r>
        <w:t>Questions for Organizational Reflection</w:t>
      </w:r>
    </w:p>
    <w:p w14:paraId="718B0170" w14:textId="77777777" w:rsidR="001609D8" w:rsidRDefault="001609D8" w:rsidP="001609D8">
      <w:pPr>
        <w:pStyle w:val="ListParagraph"/>
        <w:numPr>
          <w:ilvl w:val="0"/>
          <w:numId w:val="14"/>
        </w:numPr>
        <w:spacing w:after="100" w:afterAutospacing="1" w:line="240" w:lineRule="auto"/>
      </w:pPr>
      <w:r>
        <w:t xml:space="preserve">Who may not currently be making it through our doors — and why? </w:t>
      </w:r>
    </w:p>
    <w:p w14:paraId="7CC30BA9" w14:textId="77777777" w:rsidR="001609D8" w:rsidRDefault="001609D8" w:rsidP="001609D8">
      <w:pPr>
        <w:pStyle w:val="ListParagraph"/>
        <w:numPr>
          <w:ilvl w:val="0"/>
          <w:numId w:val="14"/>
        </w:numPr>
        <w:spacing w:before="100" w:beforeAutospacing="1" w:after="100" w:afterAutospacing="1" w:line="240" w:lineRule="auto"/>
      </w:pPr>
      <w:r>
        <w:t xml:space="preserve">Where might communication barriers unintentionally limit participation or engagement? </w:t>
      </w:r>
    </w:p>
    <w:p w14:paraId="61A35AD6" w14:textId="77777777" w:rsidR="001609D8" w:rsidRDefault="001609D8" w:rsidP="001609D8">
      <w:pPr>
        <w:pStyle w:val="ListParagraph"/>
        <w:numPr>
          <w:ilvl w:val="0"/>
          <w:numId w:val="14"/>
        </w:numPr>
        <w:spacing w:before="100" w:beforeAutospacing="1" w:after="100" w:afterAutospacing="1" w:line="240" w:lineRule="auto"/>
      </w:pPr>
      <w:r>
        <w:t xml:space="preserve">How are communication access needs currently identified within our organization? </w:t>
      </w:r>
    </w:p>
    <w:p w14:paraId="52E0BB1A" w14:textId="77777777" w:rsidR="001609D8" w:rsidRDefault="001609D8" w:rsidP="001609D8">
      <w:pPr>
        <w:pStyle w:val="ListParagraph"/>
        <w:numPr>
          <w:ilvl w:val="0"/>
          <w:numId w:val="14"/>
        </w:numPr>
        <w:spacing w:before="100" w:beforeAutospacing="1" w:after="100" w:afterAutospacing="1" w:line="240" w:lineRule="auto"/>
      </w:pPr>
      <w:r>
        <w:t xml:space="preserve">Are Deaf consumers helping shape how communication access is designed within our services and programs? </w:t>
      </w:r>
    </w:p>
    <w:p w14:paraId="26B33EAC" w14:textId="1FC79384" w:rsidR="004E2D6A" w:rsidRDefault="004E2D6A" w:rsidP="001609D8">
      <w:pPr>
        <w:pStyle w:val="ListParagraph"/>
        <w:numPr>
          <w:ilvl w:val="0"/>
          <w:numId w:val="14"/>
        </w:numPr>
        <w:spacing w:before="100" w:beforeAutospacing="1" w:after="100" w:afterAutospacing="1" w:line="240" w:lineRule="auto"/>
      </w:pPr>
      <w:r>
        <w:t>What communication access resources or partnerships already exist within our community?</w:t>
      </w:r>
    </w:p>
    <w:p w14:paraId="701140C8" w14:textId="4C5FEAC2" w:rsidR="001609D8" w:rsidRDefault="001609D8" w:rsidP="001609D8">
      <w:pPr>
        <w:pStyle w:val="ListParagraph"/>
        <w:numPr>
          <w:ilvl w:val="0"/>
          <w:numId w:val="14"/>
        </w:numPr>
        <w:spacing w:before="100" w:beforeAutospacing="1" w:after="100" w:afterAutospacing="1" w:line="240" w:lineRule="auto"/>
      </w:pPr>
      <w:r>
        <w:t xml:space="preserve">What is one operational change our organization could begin implementing now? </w:t>
      </w:r>
    </w:p>
    <w:p w14:paraId="60EF2766" w14:textId="77777777" w:rsidR="001609D8" w:rsidRDefault="001609D8" w:rsidP="001609D8">
      <w:pPr>
        <w:pStyle w:val="Heading2"/>
      </w:pPr>
      <w:r>
        <w:t>Additional Resources</w:t>
      </w:r>
    </w:p>
    <w:p w14:paraId="68B5FCD3" w14:textId="77777777" w:rsidR="001609D8" w:rsidRDefault="001609D8" w:rsidP="001609D8">
      <w:pPr>
        <w:numPr>
          <w:ilvl w:val="0"/>
          <w:numId w:val="13"/>
        </w:numPr>
        <w:spacing w:before="100" w:beforeAutospacing="1" w:after="100" w:afterAutospacing="1" w:line="240" w:lineRule="auto"/>
      </w:pPr>
      <w:r>
        <w:t xml:space="preserve">HHS OCR Section 504 Guidance </w:t>
      </w:r>
    </w:p>
    <w:p w14:paraId="28B10C6F" w14:textId="77777777" w:rsidR="001609D8" w:rsidRDefault="001609D8" w:rsidP="001609D8">
      <w:pPr>
        <w:numPr>
          <w:ilvl w:val="0"/>
          <w:numId w:val="13"/>
        </w:numPr>
        <w:spacing w:before="100" w:beforeAutospacing="1" w:after="100" w:afterAutospacing="1" w:line="240" w:lineRule="auto"/>
      </w:pPr>
      <w:r>
        <w:t xml:space="preserve">45 CFR § 84.77 – Effective Communication Requirements </w:t>
      </w:r>
    </w:p>
    <w:p w14:paraId="2B36D9BD" w14:textId="77777777" w:rsidR="001609D8" w:rsidRDefault="001609D8" w:rsidP="001609D8">
      <w:pPr>
        <w:numPr>
          <w:ilvl w:val="0"/>
          <w:numId w:val="13"/>
        </w:numPr>
        <w:spacing w:before="100" w:beforeAutospacing="1" w:after="100" w:afterAutospacing="1" w:line="240" w:lineRule="auto"/>
      </w:pPr>
      <w:r>
        <w:t xml:space="preserve">ADA Effective Communication Guidance </w:t>
      </w:r>
    </w:p>
    <w:p w14:paraId="11DA52BC" w14:textId="07B60C3B" w:rsidR="0024349D" w:rsidRPr="004E2D6A" w:rsidRDefault="001609D8" w:rsidP="004E2D6A">
      <w:pPr>
        <w:numPr>
          <w:ilvl w:val="0"/>
          <w:numId w:val="13"/>
        </w:numPr>
        <w:spacing w:before="100" w:beforeAutospacing="1" w:after="100" w:afterAutospacing="1" w:line="240" w:lineRule="auto"/>
      </w:pPr>
      <w:r>
        <w:t xml:space="preserve">IL T&amp;TA Resource: </w:t>
      </w:r>
      <w:hyperlink r:id="rId7" w:history="1">
        <w:r w:rsidRPr="001609D8">
          <w:rPr>
            <w:rStyle w:val="Hyperlink"/>
          </w:rPr>
          <w:t>Operationalizing the Independent Living Philosophy into Practice and Operations</w:t>
        </w:r>
      </w:hyperlink>
      <w:r>
        <w:t xml:space="preserve"> </w:t>
      </w:r>
    </w:p>
    <w:sectPr w:rsidR="0024349D" w:rsidRPr="004E2D6A" w:rsidSect="004E2D6A">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7180" w14:textId="77777777" w:rsidR="005A081C" w:rsidRDefault="005A081C" w:rsidP="00346241">
      <w:pPr>
        <w:spacing w:after="0" w:line="240" w:lineRule="auto"/>
      </w:pPr>
      <w:r>
        <w:separator/>
      </w:r>
    </w:p>
  </w:endnote>
  <w:endnote w:type="continuationSeparator" w:id="0">
    <w:p w14:paraId="4FDE5F23" w14:textId="77777777" w:rsidR="005A081C" w:rsidRDefault="005A081C" w:rsidP="0034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527683"/>
      <w:docPartObj>
        <w:docPartGallery w:val="Page Numbers (Bottom of Page)"/>
        <w:docPartUnique/>
      </w:docPartObj>
    </w:sdtPr>
    <w:sdtContent>
      <w:p w14:paraId="6BEE26E7" w14:textId="76FE3174" w:rsidR="00346241" w:rsidRDefault="00346241" w:rsidP="008966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66D5B" w14:textId="77777777" w:rsidR="00346241" w:rsidRDefault="00346241" w:rsidP="00346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185046"/>
      <w:docPartObj>
        <w:docPartGallery w:val="Page Numbers (Bottom of Page)"/>
        <w:docPartUnique/>
      </w:docPartObj>
    </w:sdtPr>
    <w:sdtContent>
      <w:p w14:paraId="4A48AC70" w14:textId="5E3FC53D" w:rsidR="00346241" w:rsidRDefault="00346241" w:rsidP="008966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BC9FBB" w14:textId="77777777" w:rsidR="00346241" w:rsidRDefault="00346241" w:rsidP="003462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5F97" w14:textId="77777777" w:rsidR="005A081C" w:rsidRDefault="005A081C" w:rsidP="00346241">
      <w:pPr>
        <w:spacing w:after="0" w:line="240" w:lineRule="auto"/>
      </w:pPr>
      <w:r>
        <w:separator/>
      </w:r>
    </w:p>
  </w:footnote>
  <w:footnote w:type="continuationSeparator" w:id="0">
    <w:p w14:paraId="55D6866E" w14:textId="77777777" w:rsidR="005A081C" w:rsidRDefault="005A081C" w:rsidP="0034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00EA" w14:textId="77777777" w:rsidR="004E2D6A" w:rsidRPr="00BA2366" w:rsidRDefault="004E2D6A" w:rsidP="004E2D6A">
    <w:pPr>
      <w:pStyle w:val="Title"/>
      <w:rPr>
        <w:sz w:val="44"/>
        <w:szCs w:val="44"/>
      </w:rPr>
    </w:pPr>
    <w:r w:rsidRPr="00BA2366">
      <w:rPr>
        <w:sz w:val="44"/>
        <w:szCs w:val="44"/>
      </w:rPr>
      <w:t>Building Deaf Communication Access into</w:t>
    </w:r>
    <w:r>
      <w:rPr>
        <w:sz w:val="44"/>
        <w:szCs w:val="44"/>
      </w:rPr>
      <w:t xml:space="preserve"> IL</w:t>
    </w:r>
    <w:r w:rsidRPr="00BA2366">
      <w:rPr>
        <w:sz w:val="44"/>
        <w:szCs w:val="44"/>
      </w:rPr>
      <w:t xml:space="preserve"> Operations</w:t>
    </w:r>
  </w:p>
  <w:p w14:paraId="4226B84A" w14:textId="36F02701" w:rsidR="004E2D6A" w:rsidRDefault="004E2D6A">
    <w:pPr>
      <w:pStyle w:val="Header"/>
    </w:pPr>
    <w:r>
      <w:t xml:space="preserve">Supplemental to IL T&amp;TA Webinar: </w:t>
    </w:r>
    <w:hyperlink r:id="rId1" w:history="1">
      <w:r w:rsidRPr="004E2D6A">
        <w:rPr>
          <w:rStyle w:val="Hyperlink"/>
        </w:rPr>
        <w:t>Engaging the Deaf and Hard of Hearing Community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347A"/>
    <w:multiLevelType w:val="multilevel"/>
    <w:tmpl w:val="C33C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76A21"/>
    <w:multiLevelType w:val="multilevel"/>
    <w:tmpl w:val="6EC4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B7A50"/>
    <w:multiLevelType w:val="multilevel"/>
    <w:tmpl w:val="50B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74AD9"/>
    <w:multiLevelType w:val="multilevel"/>
    <w:tmpl w:val="79A0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3068C"/>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024C0"/>
    <w:multiLevelType w:val="multilevel"/>
    <w:tmpl w:val="040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A3C14"/>
    <w:multiLevelType w:val="multilevel"/>
    <w:tmpl w:val="2D98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25E49"/>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208D9"/>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11A87"/>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25306"/>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24921"/>
    <w:multiLevelType w:val="multilevel"/>
    <w:tmpl w:val="81E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D4681"/>
    <w:multiLevelType w:val="hybridMultilevel"/>
    <w:tmpl w:val="29A6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322D28"/>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E3FCE"/>
    <w:multiLevelType w:val="multilevel"/>
    <w:tmpl w:val="236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879C2"/>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C6664"/>
    <w:multiLevelType w:val="multilevel"/>
    <w:tmpl w:val="8DE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D0CBA"/>
    <w:multiLevelType w:val="multilevel"/>
    <w:tmpl w:val="BC6A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522887">
    <w:abstractNumId w:val="17"/>
  </w:num>
  <w:num w:numId="2" w16cid:durableId="777872805">
    <w:abstractNumId w:val="11"/>
  </w:num>
  <w:num w:numId="3" w16cid:durableId="678771509">
    <w:abstractNumId w:val="5"/>
  </w:num>
  <w:num w:numId="4" w16cid:durableId="324549418">
    <w:abstractNumId w:val="3"/>
  </w:num>
  <w:num w:numId="5" w16cid:durableId="420222875">
    <w:abstractNumId w:val="0"/>
  </w:num>
  <w:num w:numId="6" w16cid:durableId="1420558894">
    <w:abstractNumId w:val="6"/>
  </w:num>
  <w:num w:numId="7" w16cid:durableId="576211834">
    <w:abstractNumId w:val="14"/>
  </w:num>
  <w:num w:numId="8" w16cid:durableId="630526236">
    <w:abstractNumId w:val="10"/>
  </w:num>
  <w:num w:numId="9" w16cid:durableId="1162620208">
    <w:abstractNumId w:val="12"/>
  </w:num>
  <w:num w:numId="10" w16cid:durableId="1862551510">
    <w:abstractNumId w:val="1"/>
  </w:num>
  <w:num w:numId="11" w16cid:durableId="272250279">
    <w:abstractNumId w:val="2"/>
  </w:num>
  <w:num w:numId="12" w16cid:durableId="443960650">
    <w:abstractNumId w:val="8"/>
  </w:num>
  <w:num w:numId="13" w16cid:durableId="88088109">
    <w:abstractNumId w:val="13"/>
  </w:num>
  <w:num w:numId="14" w16cid:durableId="1343894987">
    <w:abstractNumId w:val="16"/>
  </w:num>
  <w:num w:numId="15" w16cid:durableId="897935591">
    <w:abstractNumId w:val="9"/>
  </w:num>
  <w:num w:numId="16" w16cid:durableId="992752784">
    <w:abstractNumId w:val="7"/>
  </w:num>
  <w:num w:numId="17" w16cid:durableId="1579362755">
    <w:abstractNumId w:val="15"/>
  </w:num>
  <w:num w:numId="18" w16cid:durableId="1573545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9D"/>
    <w:rsid w:val="00061D0D"/>
    <w:rsid w:val="001609D8"/>
    <w:rsid w:val="0024349D"/>
    <w:rsid w:val="00346241"/>
    <w:rsid w:val="00413341"/>
    <w:rsid w:val="004E2D6A"/>
    <w:rsid w:val="005A081C"/>
    <w:rsid w:val="007935DA"/>
    <w:rsid w:val="008530D0"/>
    <w:rsid w:val="00A109B7"/>
    <w:rsid w:val="00BA2366"/>
    <w:rsid w:val="00BF20B7"/>
    <w:rsid w:val="00C222ED"/>
    <w:rsid w:val="00C9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7AB54"/>
  <w15:chartTrackingRefBased/>
  <w15:docId w15:val="{47A509C3-181E-4F49-A4B7-4A691E60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3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3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3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49D"/>
    <w:rPr>
      <w:rFonts w:eastAsiaTheme="majorEastAsia" w:cstheme="majorBidi"/>
      <w:color w:val="272727" w:themeColor="text1" w:themeTint="D8"/>
    </w:rPr>
  </w:style>
  <w:style w:type="paragraph" w:styleId="Title">
    <w:name w:val="Title"/>
    <w:basedOn w:val="Normal"/>
    <w:next w:val="Normal"/>
    <w:link w:val="TitleChar"/>
    <w:uiPriority w:val="10"/>
    <w:qFormat/>
    <w:rsid w:val="00243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49D"/>
    <w:pPr>
      <w:spacing w:before="160"/>
      <w:jc w:val="center"/>
    </w:pPr>
    <w:rPr>
      <w:i/>
      <w:iCs/>
      <w:color w:val="404040" w:themeColor="text1" w:themeTint="BF"/>
    </w:rPr>
  </w:style>
  <w:style w:type="character" w:customStyle="1" w:styleId="QuoteChar">
    <w:name w:val="Quote Char"/>
    <w:basedOn w:val="DefaultParagraphFont"/>
    <w:link w:val="Quote"/>
    <w:uiPriority w:val="29"/>
    <w:rsid w:val="0024349D"/>
    <w:rPr>
      <w:i/>
      <w:iCs/>
      <w:color w:val="404040" w:themeColor="text1" w:themeTint="BF"/>
    </w:rPr>
  </w:style>
  <w:style w:type="paragraph" w:styleId="ListParagraph">
    <w:name w:val="List Paragraph"/>
    <w:basedOn w:val="Normal"/>
    <w:uiPriority w:val="34"/>
    <w:qFormat/>
    <w:rsid w:val="0024349D"/>
    <w:pPr>
      <w:ind w:left="720"/>
      <w:contextualSpacing/>
    </w:pPr>
  </w:style>
  <w:style w:type="character" w:styleId="IntenseEmphasis">
    <w:name w:val="Intense Emphasis"/>
    <w:basedOn w:val="DefaultParagraphFont"/>
    <w:uiPriority w:val="21"/>
    <w:qFormat/>
    <w:rsid w:val="0024349D"/>
    <w:rPr>
      <w:i/>
      <w:iCs/>
      <w:color w:val="0F4761" w:themeColor="accent1" w:themeShade="BF"/>
    </w:rPr>
  </w:style>
  <w:style w:type="paragraph" w:styleId="IntenseQuote">
    <w:name w:val="Intense Quote"/>
    <w:basedOn w:val="Normal"/>
    <w:next w:val="Normal"/>
    <w:link w:val="IntenseQuoteChar"/>
    <w:uiPriority w:val="30"/>
    <w:qFormat/>
    <w:rsid w:val="00243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49D"/>
    <w:rPr>
      <w:i/>
      <w:iCs/>
      <w:color w:val="0F4761" w:themeColor="accent1" w:themeShade="BF"/>
    </w:rPr>
  </w:style>
  <w:style w:type="character" w:styleId="IntenseReference">
    <w:name w:val="Intense Reference"/>
    <w:basedOn w:val="DefaultParagraphFont"/>
    <w:uiPriority w:val="32"/>
    <w:qFormat/>
    <w:rsid w:val="0024349D"/>
    <w:rPr>
      <w:b/>
      <w:bCs/>
      <w:smallCaps/>
      <w:color w:val="0F4761" w:themeColor="accent1" w:themeShade="BF"/>
      <w:spacing w:val="5"/>
    </w:rPr>
  </w:style>
  <w:style w:type="paragraph" w:styleId="NormalWeb">
    <w:name w:val="Normal (Web)"/>
    <w:basedOn w:val="Normal"/>
    <w:uiPriority w:val="99"/>
    <w:unhideWhenUsed/>
    <w:rsid w:val="002434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349D"/>
    <w:rPr>
      <w:b/>
      <w:bCs/>
    </w:rPr>
  </w:style>
  <w:style w:type="character" w:styleId="Hyperlink">
    <w:name w:val="Hyperlink"/>
    <w:basedOn w:val="DefaultParagraphFont"/>
    <w:uiPriority w:val="99"/>
    <w:unhideWhenUsed/>
    <w:rsid w:val="001609D8"/>
    <w:rPr>
      <w:color w:val="467886" w:themeColor="hyperlink"/>
      <w:u w:val="single"/>
    </w:rPr>
  </w:style>
  <w:style w:type="character" w:styleId="UnresolvedMention">
    <w:name w:val="Unresolved Mention"/>
    <w:basedOn w:val="DefaultParagraphFont"/>
    <w:uiPriority w:val="99"/>
    <w:semiHidden/>
    <w:unhideWhenUsed/>
    <w:rsid w:val="001609D8"/>
    <w:rPr>
      <w:color w:val="605E5C"/>
      <w:shd w:val="clear" w:color="auto" w:fill="E1DFDD"/>
    </w:rPr>
  </w:style>
  <w:style w:type="paragraph" w:styleId="Footer">
    <w:name w:val="footer"/>
    <w:basedOn w:val="Normal"/>
    <w:link w:val="FooterChar"/>
    <w:uiPriority w:val="99"/>
    <w:unhideWhenUsed/>
    <w:rsid w:val="00346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241"/>
  </w:style>
  <w:style w:type="character" w:styleId="PageNumber">
    <w:name w:val="page number"/>
    <w:basedOn w:val="DefaultParagraphFont"/>
    <w:uiPriority w:val="99"/>
    <w:semiHidden/>
    <w:unhideWhenUsed/>
    <w:rsid w:val="00346241"/>
  </w:style>
  <w:style w:type="paragraph" w:styleId="Header">
    <w:name w:val="header"/>
    <w:basedOn w:val="Normal"/>
    <w:link w:val="HeaderChar"/>
    <w:uiPriority w:val="99"/>
    <w:unhideWhenUsed/>
    <w:rsid w:val="004E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ttacenter.org/learn-and-share-operationalizing-the-independent-living-philosoph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ilttacenter.org/webinar-engaging-dhh-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747</Words>
  <Characters>5008</Characters>
  <Application>Microsoft Office Word</Application>
  <DocSecurity>0</DocSecurity>
  <Lines>111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6</cp:revision>
  <dcterms:created xsi:type="dcterms:W3CDTF">2026-05-19T17:31:00Z</dcterms:created>
  <dcterms:modified xsi:type="dcterms:W3CDTF">2026-05-19T21:05:00Z</dcterms:modified>
</cp:coreProperties>
</file>