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45282" w14:textId="77777777" w:rsidR="00210B45" w:rsidRDefault="00622CA3" w:rsidP="00622CA3">
      <w:pPr>
        <w:pStyle w:val="Title"/>
      </w:pPr>
      <w:r w:rsidRPr="00622CA3">
        <w:t xml:space="preserve">ACL funding acknowledgements and </w:t>
      </w:r>
    </w:p>
    <w:p w14:paraId="3F180F6B" w14:textId="4E1556EB" w:rsidR="00622CA3" w:rsidRDefault="00622CA3" w:rsidP="00622CA3">
      <w:pPr>
        <w:pStyle w:val="Title"/>
      </w:pPr>
      <w:r w:rsidRPr="00622CA3">
        <w:t>the Stevens Amendment</w:t>
      </w:r>
    </w:p>
    <w:p w14:paraId="2B3654AC" w14:textId="2391EC3E" w:rsidR="00622CA3" w:rsidRPr="00622CA3" w:rsidRDefault="00622CA3" w:rsidP="00622CA3">
      <w:r>
        <w:t>October 2026</w:t>
      </w:r>
    </w:p>
    <w:p w14:paraId="47D3CB21" w14:textId="244D2884" w:rsidR="00111196" w:rsidRDefault="00111196" w:rsidP="00111196">
      <w:pPr>
        <w:pStyle w:val="Heading1"/>
        <w:rPr>
          <w:rFonts w:ascii="Aptos Display" w:eastAsia="Aptos Display" w:hAnsi="Aptos Display" w:cs="Aptos Display"/>
          <w:sz w:val="36"/>
          <w:szCs w:val="36"/>
        </w:rPr>
      </w:pPr>
      <w:r w:rsidRPr="482BB210">
        <w:rPr>
          <w:rFonts w:ascii="Aptos Display" w:eastAsia="Aptos Display" w:hAnsi="Aptos Display" w:cs="Aptos Display"/>
          <w:sz w:val="36"/>
          <w:szCs w:val="36"/>
        </w:rPr>
        <w:t>About this Resource</w:t>
      </w:r>
    </w:p>
    <w:p w14:paraId="1B7F61A2" w14:textId="75838FAF" w:rsidR="00111196" w:rsidRDefault="00BB6C46" w:rsidP="144BA2E7">
      <w:pPr>
        <w:pStyle w:val="Heading1"/>
        <w:rPr>
          <w:rFonts w:ascii="Aptos Display" w:eastAsia="Aptos Display" w:hAnsi="Aptos Display" w:cs="Aptos Display"/>
          <w:sz w:val="36"/>
          <w:szCs w:val="36"/>
        </w:rPr>
      </w:pPr>
      <w:r w:rsidRPr="482BB210">
        <w:rPr>
          <w:rFonts w:ascii="Aptos Display" w:eastAsiaTheme="minorEastAsia" w:hAnsi="Aptos Display" w:cstheme="minorBidi"/>
          <w:b w:val="0"/>
          <w:bCs w:val="0"/>
        </w:rPr>
        <w:t>The Administration for Community Living (ACL) has added a condition to Center for Independent Living (CIL) awards related to CIL identification and online presence. This resource provides information to help CILs understand and implement that requirement, along with related requirements for acknowledging federal financial assistance. It explains expectations for identifying an organization as a Center for Independent Living, maintaining a current public online presence, using required federal funding acknowledgments, and updating websites and other public-facing materials. This resource is intended to support CIL compliance with the Rehabilitation Act, applicable award terms and conditions, and federal funding acknowledgment requirements; it does not replace the requirements contained in a CIL’s Notice of Award or other applicable federal requirements.</w:t>
      </w:r>
    </w:p>
    <w:p w14:paraId="77676486" w14:textId="677916BB" w:rsidR="144BA2E7" w:rsidRDefault="002E54F8" w:rsidP="144BA2E7">
      <w:pPr>
        <w:pStyle w:val="Heading1"/>
        <w:rPr>
          <w:rFonts w:ascii="Aptos Display" w:eastAsia="Aptos Display" w:hAnsi="Aptos Display" w:cs="Aptos Display"/>
          <w:sz w:val="36"/>
          <w:szCs w:val="36"/>
        </w:rPr>
      </w:pPr>
      <w:r w:rsidRPr="482BB210">
        <w:rPr>
          <w:rFonts w:ascii="Aptos Display" w:eastAsia="Aptos Display" w:hAnsi="Aptos Display" w:cs="Aptos Display"/>
          <w:sz w:val="36"/>
          <w:szCs w:val="36"/>
        </w:rPr>
        <w:t xml:space="preserve">The Rehabilitation Act and </w:t>
      </w:r>
      <w:r w:rsidR="144BA2E7" w:rsidRPr="482BB210">
        <w:rPr>
          <w:rFonts w:ascii="Aptos Display" w:eastAsia="Aptos Display" w:hAnsi="Aptos Display" w:cs="Aptos Display"/>
          <w:sz w:val="36"/>
          <w:szCs w:val="36"/>
        </w:rPr>
        <w:t xml:space="preserve">Online </w:t>
      </w:r>
      <w:r w:rsidRPr="482BB210">
        <w:rPr>
          <w:rFonts w:ascii="Aptos Display" w:eastAsia="Aptos Display" w:hAnsi="Aptos Display" w:cs="Aptos Display"/>
          <w:sz w:val="36"/>
          <w:szCs w:val="36"/>
        </w:rPr>
        <w:t>Presence</w:t>
      </w:r>
    </w:p>
    <w:p w14:paraId="31EAB075" w14:textId="13ADFF36" w:rsidR="144BA2E7" w:rsidRDefault="00D53B38" w:rsidP="144BA2E7">
      <w:pPr>
        <w:spacing w:before="240" w:after="240"/>
        <w:rPr>
          <w:rFonts w:ascii="Aptos Display" w:eastAsia="Aptos Display" w:hAnsi="Aptos Display" w:cs="Aptos Display"/>
          <w:sz w:val="24"/>
          <w:szCs w:val="24"/>
        </w:rPr>
      </w:pPr>
      <w:r>
        <w:rPr>
          <w:rFonts w:ascii="Aptos Display" w:eastAsia="Aptos Display" w:hAnsi="Aptos Display" w:cs="Aptos Display"/>
          <w:sz w:val="24"/>
          <w:szCs w:val="24"/>
        </w:rPr>
        <w:t>S</w:t>
      </w:r>
      <w:r w:rsidRPr="144BA2E7">
        <w:rPr>
          <w:rFonts w:ascii="Aptos Display" w:eastAsia="Aptos Display" w:hAnsi="Aptos Display" w:cs="Aptos Display"/>
          <w:sz w:val="24"/>
          <w:szCs w:val="24"/>
        </w:rPr>
        <w:t xml:space="preserve">ection 725(c)(10) of the Rehabilitation Act </w:t>
      </w:r>
      <w:r w:rsidR="00E01CA5">
        <w:rPr>
          <w:rFonts w:ascii="Aptos Display" w:eastAsia="Aptos Display" w:hAnsi="Aptos Display" w:cs="Aptos Display"/>
          <w:sz w:val="24"/>
          <w:szCs w:val="24"/>
        </w:rPr>
        <w:t xml:space="preserve">establishes </w:t>
      </w:r>
      <w:r w:rsidRPr="144BA2E7">
        <w:rPr>
          <w:rFonts w:ascii="Aptos Display" w:eastAsia="Aptos Display" w:hAnsi="Aptos Display" w:cs="Aptos Display"/>
          <w:sz w:val="24"/>
          <w:szCs w:val="24"/>
        </w:rPr>
        <w:t>outreach requirements</w:t>
      </w:r>
      <w:r>
        <w:rPr>
          <w:rFonts w:ascii="Aptos Display" w:eastAsia="Aptos Display" w:hAnsi="Aptos Display" w:cs="Aptos Display"/>
          <w:sz w:val="24"/>
          <w:szCs w:val="24"/>
        </w:rPr>
        <w:t xml:space="preserve"> for</w:t>
      </w:r>
      <w:r w:rsidRPr="144BA2E7">
        <w:rPr>
          <w:rFonts w:ascii="Aptos Display" w:eastAsia="Aptos Display" w:hAnsi="Aptos Display" w:cs="Aptos Display"/>
          <w:sz w:val="24"/>
          <w:szCs w:val="24"/>
        </w:rPr>
        <w:t xml:space="preserve"> </w:t>
      </w:r>
      <w:r>
        <w:rPr>
          <w:rFonts w:ascii="Aptos Display" w:eastAsia="Aptos Display" w:hAnsi="Aptos Display" w:cs="Aptos Display"/>
          <w:sz w:val="24"/>
          <w:szCs w:val="24"/>
        </w:rPr>
        <w:t>Centers for Independent Living</w:t>
      </w:r>
      <w:r w:rsidR="00111196">
        <w:rPr>
          <w:rFonts w:ascii="Aptos Display" w:eastAsia="Aptos Display" w:hAnsi="Aptos Display" w:cs="Aptos Display"/>
          <w:sz w:val="24"/>
          <w:szCs w:val="24"/>
        </w:rPr>
        <w:t xml:space="preserve">, including </w:t>
      </w:r>
      <w:r w:rsidR="00111196" w:rsidRPr="144BA2E7">
        <w:rPr>
          <w:rFonts w:ascii="Aptos Display" w:eastAsia="Aptos Display" w:hAnsi="Aptos Display" w:cs="Aptos Display"/>
          <w:sz w:val="24"/>
          <w:szCs w:val="24"/>
        </w:rPr>
        <w:t>outreach to people with significant disabilities who are unserved or underserved</w:t>
      </w:r>
      <w:r w:rsidR="00E01CA5">
        <w:rPr>
          <w:rFonts w:ascii="Aptos Display" w:eastAsia="Aptos Display" w:hAnsi="Aptos Display" w:cs="Aptos Display"/>
          <w:sz w:val="24"/>
          <w:szCs w:val="24"/>
        </w:rPr>
        <w:t xml:space="preserve">. </w:t>
      </w:r>
      <w:r w:rsidRPr="144BA2E7">
        <w:rPr>
          <w:rFonts w:ascii="Aptos Display" w:eastAsia="Aptos Display" w:hAnsi="Aptos Display" w:cs="Aptos Display"/>
          <w:sz w:val="24"/>
          <w:szCs w:val="24"/>
        </w:rPr>
        <w:t xml:space="preserve">To support compliance with </w:t>
      </w:r>
      <w:r w:rsidR="00E01CA5">
        <w:rPr>
          <w:rFonts w:ascii="Aptos Display" w:eastAsia="Aptos Display" w:hAnsi="Aptos Display" w:cs="Aptos Display"/>
          <w:sz w:val="24"/>
          <w:szCs w:val="24"/>
        </w:rPr>
        <w:t xml:space="preserve">these requirements, </w:t>
      </w:r>
      <w:r w:rsidRPr="144BA2E7">
        <w:rPr>
          <w:rFonts w:ascii="Aptos Display" w:eastAsia="Aptos Display" w:hAnsi="Aptos Display" w:cs="Aptos Display"/>
          <w:sz w:val="24"/>
          <w:szCs w:val="24"/>
        </w:rPr>
        <w:t>each Part C recipient must maintain an active, publicly accessible online presence, such as a current website and social media platforms.</w:t>
      </w:r>
      <w:r w:rsidR="00E01CA5">
        <w:rPr>
          <w:rFonts w:ascii="Aptos Display" w:eastAsia="Aptos Display" w:hAnsi="Aptos Display" w:cs="Aptos Display"/>
          <w:sz w:val="24"/>
          <w:szCs w:val="24"/>
        </w:rPr>
        <w:t xml:space="preserve"> </w:t>
      </w:r>
    </w:p>
    <w:p w14:paraId="5F3F5F2D" w14:textId="2DA54284" w:rsidR="144BA2E7" w:rsidRDefault="144BA2E7" w:rsidP="144BA2E7">
      <w:pPr>
        <w:spacing w:before="240" w:after="240"/>
        <w:rPr>
          <w:rFonts w:ascii="Aptos Display" w:eastAsia="Aptos Display" w:hAnsi="Aptos Display" w:cs="Aptos Display"/>
          <w:sz w:val="24"/>
          <w:szCs w:val="24"/>
        </w:rPr>
      </w:pPr>
      <w:r w:rsidRPr="144BA2E7">
        <w:rPr>
          <w:rFonts w:ascii="Aptos Display" w:eastAsia="Aptos Display" w:hAnsi="Aptos Display" w:cs="Aptos Display"/>
          <w:sz w:val="24"/>
          <w:szCs w:val="24"/>
        </w:rPr>
        <w:t xml:space="preserve">The </w:t>
      </w:r>
      <w:r w:rsidR="00111196">
        <w:rPr>
          <w:rFonts w:ascii="Aptos Display" w:eastAsia="Aptos Display" w:hAnsi="Aptos Display" w:cs="Aptos Display"/>
          <w:sz w:val="24"/>
          <w:szCs w:val="24"/>
        </w:rPr>
        <w:t xml:space="preserve">CIL’s </w:t>
      </w:r>
      <w:r w:rsidRPr="144BA2E7">
        <w:rPr>
          <w:rFonts w:ascii="Aptos Display" w:eastAsia="Aptos Display" w:hAnsi="Aptos Display" w:cs="Aptos Display"/>
          <w:sz w:val="24"/>
          <w:szCs w:val="24"/>
        </w:rPr>
        <w:t xml:space="preserve">online presence must clearly identify the organization as a </w:t>
      </w:r>
      <w:r w:rsidRPr="144BA2E7">
        <w:rPr>
          <w:rFonts w:ascii="Aptos Display" w:eastAsia="Aptos Display" w:hAnsi="Aptos Display" w:cs="Aptos Display"/>
          <w:b/>
          <w:bCs/>
          <w:sz w:val="24"/>
          <w:szCs w:val="24"/>
        </w:rPr>
        <w:t>Center for Independent Living</w:t>
      </w:r>
      <w:r w:rsidRPr="144BA2E7">
        <w:rPr>
          <w:rFonts w:ascii="Aptos Display" w:eastAsia="Aptos Display" w:hAnsi="Aptos Display" w:cs="Aptos Display"/>
          <w:sz w:val="24"/>
          <w:szCs w:val="24"/>
        </w:rPr>
        <w:t xml:space="preserve"> </w:t>
      </w:r>
      <w:r w:rsidR="00111196">
        <w:rPr>
          <w:rFonts w:ascii="Aptos Display" w:eastAsia="Aptos Display" w:hAnsi="Aptos Display" w:cs="Aptos Display"/>
          <w:sz w:val="24"/>
          <w:szCs w:val="24"/>
        </w:rPr>
        <w:t xml:space="preserve"> and </w:t>
      </w:r>
      <w:r w:rsidRPr="144BA2E7">
        <w:rPr>
          <w:rFonts w:ascii="Aptos Display" w:eastAsia="Aptos Display" w:hAnsi="Aptos Display" w:cs="Aptos Display"/>
          <w:sz w:val="24"/>
          <w:szCs w:val="24"/>
        </w:rPr>
        <w:t xml:space="preserve">provide current information about CIL services and how to access them. </w:t>
      </w:r>
      <w:r w:rsidR="00111196">
        <w:rPr>
          <w:rFonts w:ascii="Aptos Display" w:eastAsia="Aptos Display" w:hAnsi="Aptos Display" w:cs="Aptos Display"/>
          <w:sz w:val="24"/>
          <w:szCs w:val="24"/>
        </w:rPr>
        <w:t xml:space="preserve"> </w:t>
      </w:r>
      <w:r w:rsidRPr="144BA2E7">
        <w:rPr>
          <w:rFonts w:ascii="Aptos Display" w:eastAsia="Aptos Display" w:hAnsi="Aptos Display" w:cs="Aptos Display"/>
          <w:sz w:val="24"/>
          <w:szCs w:val="24"/>
        </w:rPr>
        <w:t xml:space="preserve">Regardless of the organization’s legal or public-facing name, its website and social media profiles must clearly identify it as a </w:t>
      </w:r>
      <w:r w:rsidRPr="144BA2E7">
        <w:rPr>
          <w:rFonts w:ascii="Aptos Display" w:eastAsia="Aptos Display" w:hAnsi="Aptos Display" w:cs="Aptos Display"/>
          <w:b/>
          <w:bCs/>
          <w:sz w:val="24"/>
          <w:szCs w:val="24"/>
        </w:rPr>
        <w:t>Center for Independent Living</w:t>
      </w:r>
      <w:r w:rsidRPr="144BA2E7">
        <w:rPr>
          <w:rFonts w:ascii="Aptos Display" w:eastAsia="Aptos Display" w:hAnsi="Aptos Display" w:cs="Aptos Display"/>
          <w:sz w:val="24"/>
          <w:szCs w:val="24"/>
        </w:rPr>
        <w:t>.</w:t>
      </w:r>
      <w:r w:rsidR="00E01CA5" w:rsidRPr="00E01CA5">
        <w:rPr>
          <w:rFonts w:ascii="Aptos Display" w:eastAsia="Aptos Display" w:hAnsi="Aptos Display" w:cs="Aptos Display"/>
          <w:sz w:val="24"/>
          <w:szCs w:val="24"/>
        </w:rPr>
        <w:t xml:space="preserve"> </w:t>
      </w:r>
    </w:p>
    <w:p w14:paraId="760D0DE2" w14:textId="0856C287" w:rsidR="144BA2E7" w:rsidRDefault="00111196" w:rsidP="144BA2E7">
      <w:pPr>
        <w:pStyle w:val="Heading1"/>
        <w:rPr>
          <w:rFonts w:ascii="Aptos Display" w:eastAsia="Aptos Display" w:hAnsi="Aptos Display" w:cs="Aptos Display"/>
          <w:sz w:val="36"/>
          <w:szCs w:val="36"/>
        </w:rPr>
      </w:pPr>
      <w:r w:rsidRPr="482BB210">
        <w:rPr>
          <w:rFonts w:ascii="Aptos Display" w:eastAsia="Aptos Display" w:hAnsi="Aptos Display" w:cs="Aptos Display"/>
          <w:sz w:val="36"/>
          <w:szCs w:val="36"/>
        </w:rPr>
        <w:t>T</w:t>
      </w:r>
      <w:r w:rsidR="144BA2E7" w:rsidRPr="482BB210">
        <w:rPr>
          <w:rFonts w:ascii="Aptos Display" w:eastAsia="Aptos Display" w:hAnsi="Aptos Display" w:cs="Aptos Display"/>
          <w:sz w:val="36"/>
          <w:szCs w:val="36"/>
        </w:rPr>
        <w:t>he Stevens Amendment</w:t>
      </w:r>
      <w:r w:rsidR="002E54F8" w:rsidRPr="482BB210">
        <w:rPr>
          <w:rFonts w:ascii="Aptos Display" w:eastAsia="Aptos Display" w:hAnsi="Aptos Display" w:cs="Aptos Display"/>
          <w:sz w:val="36"/>
          <w:szCs w:val="36"/>
        </w:rPr>
        <w:t xml:space="preserve"> and Federal </w:t>
      </w:r>
      <w:r w:rsidR="00BB6C46" w:rsidRPr="482BB210">
        <w:rPr>
          <w:rFonts w:ascii="Aptos Display" w:eastAsia="Aptos Display" w:hAnsi="Aptos Display" w:cs="Aptos Display"/>
          <w:sz w:val="36"/>
          <w:szCs w:val="36"/>
        </w:rPr>
        <w:t xml:space="preserve">Financial </w:t>
      </w:r>
      <w:r w:rsidR="002E54F8" w:rsidRPr="482BB210">
        <w:rPr>
          <w:rFonts w:ascii="Aptos Display" w:eastAsia="Aptos Display" w:hAnsi="Aptos Display" w:cs="Aptos Display"/>
          <w:sz w:val="36"/>
          <w:szCs w:val="36"/>
        </w:rPr>
        <w:t>Support</w:t>
      </w:r>
    </w:p>
    <w:p w14:paraId="41CDB7CB" w14:textId="63471959" w:rsidR="00111196" w:rsidRDefault="00111196" w:rsidP="144BA2E7">
      <w:pPr>
        <w:spacing w:before="240" w:after="240"/>
        <w:rPr>
          <w:rFonts w:ascii="Aptos Display" w:eastAsia="Aptos Display" w:hAnsi="Aptos Display" w:cs="Aptos Display"/>
          <w:sz w:val="24"/>
          <w:szCs w:val="24"/>
        </w:rPr>
      </w:pPr>
      <w:r>
        <w:rPr>
          <w:rFonts w:ascii="Aptos Display" w:eastAsia="Aptos Display" w:hAnsi="Aptos Display" w:cs="Aptos Display"/>
          <w:sz w:val="24"/>
          <w:szCs w:val="24"/>
        </w:rPr>
        <w:t xml:space="preserve">CILs </w:t>
      </w:r>
      <w:r w:rsidRPr="144BA2E7">
        <w:rPr>
          <w:rFonts w:ascii="Aptos Display" w:eastAsia="Aptos Display" w:hAnsi="Aptos Display" w:cs="Aptos Display"/>
          <w:sz w:val="24"/>
          <w:szCs w:val="24"/>
        </w:rPr>
        <w:t>receiv</w:t>
      </w:r>
      <w:r>
        <w:rPr>
          <w:rFonts w:ascii="Aptos Display" w:eastAsia="Aptos Display" w:hAnsi="Aptos Display" w:cs="Aptos Display"/>
          <w:sz w:val="24"/>
          <w:szCs w:val="24"/>
        </w:rPr>
        <w:t>ing</w:t>
      </w:r>
      <w:r w:rsidRPr="144BA2E7">
        <w:rPr>
          <w:rFonts w:ascii="Aptos Display" w:eastAsia="Aptos Display" w:hAnsi="Aptos Display" w:cs="Aptos Display"/>
          <w:sz w:val="24"/>
          <w:szCs w:val="24"/>
        </w:rPr>
        <w:t xml:space="preserve"> federal financial assistance from the Administration for Community Living (ACL), U.S. Department of Health and Human Services (HHS) must also </w:t>
      </w:r>
      <w:r>
        <w:rPr>
          <w:rFonts w:ascii="Aptos Display" w:eastAsia="Aptos Display" w:hAnsi="Aptos Display" w:cs="Aptos Display"/>
          <w:sz w:val="24"/>
          <w:szCs w:val="24"/>
        </w:rPr>
        <w:t>comply with applicable requirements for acknowledging federal support, including requirements associated with t</w:t>
      </w:r>
      <w:r w:rsidR="144BA2E7" w:rsidRPr="144BA2E7" w:rsidDel="00E01CA5">
        <w:rPr>
          <w:rFonts w:ascii="Aptos Display" w:eastAsia="Aptos Display" w:hAnsi="Aptos Display" w:cs="Aptos Display"/>
          <w:sz w:val="24"/>
          <w:szCs w:val="24"/>
        </w:rPr>
        <w:t>he Stevens Amendment</w:t>
      </w:r>
      <w:r>
        <w:rPr>
          <w:rFonts w:ascii="Aptos Display" w:eastAsia="Aptos Display" w:hAnsi="Aptos Display" w:cs="Aptos Display"/>
          <w:sz w:val="24"/>
          <w:szCs w:val="24"/>
        </w:rPr>
        <w:t>.</w:t>
      </w:r>
    </w:p>
    <w:p w14:paraId="207FDB39" w14:textId="72318A49" w:rsidR="00D424E6" w:rsidRDefault="00111196" w:rsidP="144BA2E7">
      <w:pPr>
        <w:spacing w:before="240" w:after="240"/>
        <w:rPr>
          <w:rFonts w:ascii="Aptos Display" w:eastAsia="Aptos Display" w:hAnsi="Aptos Display" w:cs="Aptos Display"/>
          <w:sz w:val="24"/>
          <w:szCs w:val="24"/>
        </w:rPr>
      </w:pPr>
      <w:r>
        <w:rPr>
          <w:rFonts w:ascii="Aptos Display" w:eastAsia="Aptos Display" w:hAnsi="Aptos Display" w:cs="Aptos Display"/>
          <w:sz w:val="24"/>
          <w:szCs w:val="24"/>
        </w:rPr>
        <w:t>T</w:t>
      </w:r>
      <w:r w:rsidRPr="00111196" w:rsidDel="00E01CA5">
        <w:rPr>
          <w:rFonts w:ascii="Aptos Display" w:eastAsia="Aptos Display" w:hAnsi="Aptos Display" w:cs="Aptos Display"/>
          <w:sz w:val="24"/>
          <w:szCs w:val="24"/>
        </w:rPr>
        <w:t>he Stevens Amendment</w:t>
      </w:r>
      <w:r>
        <w:rPr>
          <w:rFonts w:ascii="Aptos Display" w:eastAsia="Aptos Display" w:hAnsi="Aptos Display" w:cs="Aptos Display"/>
          <w:sz w:val="24"/>
          <w:szCs w:val="24"/>
        </w:rPr>
        <w:t>,</w:t>
      </w:r>
      <w:r w:rsidR="144BA2E7" w:rsidRPr="144BA2E7" w:rsidDel="00E01CA5">
        <w:rPr>
          <w:rFonts w:ascii="Aptos Display" w:eastAsia="Aptos Display" w:hAnsi="Aptos Display" w:cs="Aptos Display"/>
          <w:sz w:val="24"/>
          <w:szCs w:val="24"/>
        </w:rPr>
        <w:t xml:space="preserve"> first enacted in 1989 to promote transparency and accountability in federal spending</w:t>
      </w:r>
      <w:r>
        <w:rPr>
          <w:rFonts w:ascii="Aptos Display" w:eastAsia="Aptos Display" w:hAnsi="Aptos Display" w:cs="Aptos Display"/>
          <w:sz w:val="24"/>
          <w:szCs w:val="24"/>
        </w:rPr>
        <w:t>, requires recipients of federal funds to provide information about the federal and non-federal spending supporting certain programs, projects, or activities when issuing public communications</w:t>
      </w:r>
      <w:r w:rsidR="144BA2E7" w:rsidRPr="144BA2E7" w:rsidDel="00E01CA5">
        <w:rPr>
          <w:rFonts w:ascii="Aptos Display" w:eastAsia="Aptos Display" w:hAnsi="Aptos Display" w:cs="Aptos Display"/>
          <w:sz w:val="24"/>
          <w:szCs w:val="24"/>
        </w:rPr>
        <w:t xml:space="preserve">. </w:t>
      </w:r>
      <w:r w:rsidR="144BA2E7" w:rsidRPr="144BA2E7">
        <w:rPr>
          <w:rFonts w:ascii="Aptos Display" w:eastAsia="Aptos Display" w:hAnsi="Aptos Display" w:cs="Aptos Display"/>
          <w:sz w:val="24"/>
          <w:szCs w:val="24"/>
        </w:rPr>
        <w:t xml:space="preserve">The requirement </w:t>
      </w:r>
      <w:r>
        <w:rPr>
          <w:rFonts w:ascii="Aptos Display" w:eastAsia="Aptos Display" w:hAnsi="Aptos Display" w:cs="Aptos Display"/>
          <w:sz w:val="24"/>
          <w:szCs w:val="24"/>
        </w:rPr>
        <w:t xml:space="preserve">is </w:t>
      </w:r>
      <w:r w:rsidR="144BA2E7" w:rsidRPr="144BA2E7">
        <w:rPr>
          <w:rFonts w:ascii="Aptos Display" w:eastAsia="Aptos Display" w:hAnsi="Aptos Display" w:cs="Aptos Display"/>
          <w:sz w:val="24"/>
          <w:szCs w:val="24"/>
        </w:rPr>
        <w:t>continue</w:t>
      </w:r>
      <w:r>
        <w:rPr>
          <w:rFonts w:ascii="Aptos Display" w:eastAsia="Aptos Display" w:hAnsi="Aptos Display" w:cs="Aptos Display"/>
          <w:sz w:val="24"/>
          <w:szCs w:val="24"/>
        </w:rPr>
        <w:t>d</w:t>
      </w:r>
      <w:r w:rsidR="144BA2E7" w:rsidRPr="144BA2E7">
        <w:rPr>
          <w:rFonts w:ascii="Aptos Display" w:eastAsia="Aptos Display" w:hAnsi="Aptos Display" w:cs="Aptos Display"/>
          <w:sz w:val="24"/>
          <w:szCs w:val="24"/>
        </w:rPr>
        <w:t xml:space="preserve"> through annual federal appropriations and is included in ACL award terms and conditions each year. </w:t>
      </w:r>
    </w:p>
    <w:p w14:paraId="76430ECB" w14:textId="059B8027" w:rsidR="00805591" w:rsidRPr="00805591" w:rsidRDefault="00805591" w:rsidP="00805591">
      <w:pPr>
        <w:tabs>
          <w:tab w:val="left" w:pos="9516"/>
        </w:tabs>
        <w:rPr>
          <w:rFonts w:ascii="Aptos Display" w:eastAsia="Aptos Display" w:hAnsi="Aptos Display" w:cs="Aptos Display"/>
          <w:sz w:val="24"/>
          <w:szCs w:val="24"/>
        </w:rPr>
      </w:pPr>
      <w:r>
        <w:rPr>
          <w:rFonts w:ascii="Aptos Display" w:eastAsia="Aptos Display" w:hAnsi="Aptos Display" w:cs="Aptos Display"/>
          <w:sz w:val="24"/>
          <w:szCs w:val="24"/>
        </w:rPr>
        <w:tab/>
      </w:r>
    </w:p>
    <w:p w14:paraId="7A1F2033" w14:textId="06D0FD68" w:rsidR="144BA2E7" w:rsidRDefault="144BA2E7" w:rsidP="144BA2E7">
      <w:pPr>
        <w:spacing w:before="240" w:after="240"/>
        <w:rPr>
          <w:rFonts w:ascii="Aptos Display" w:eastAsia="Aptos Display" w:hAnsi="Aptos Display" w:cs="Aptos Display"/>
          <w:sz w:val="24"/>
          <w:szCs w:val="24"/>
        </w:rPr>
      </w:pPr>
      <w:r w:rsidRPr="144BA2E7">
        <w:rPr>
          <w:rFonts w:ascii="Aptos Display" w:eastAsia="Aptos Display" w:hAnsi="Aptos Display" w:cs="Aptos Display"/>
          <w:sz w:val="24"/>
          <w:szCs w:val="24"/>
        </w:rPr>
        <w:lastRenderedPageBreak/>
        <w:t>CIL</w:t>
      </w:r>
      <w:r w:rsidR="00D424E6">
        <w:rPr>
          <w:rFonts w:ascii="Aptos Display" w:eastAsia="Aptos Display" w:hAnsi="Aptos Display" w:cs="Aptos Display"/>
          <w:sz w:val="24"/>
          <w:szCs w:val="24"/>
        </w:rPr>
        <w:t>s</w:t>
      </w:r>
      <w:r w:rsidRPr="144BA2E7">
        <w:rPr>
          <w:rFonts w:ascii="Aptos Display" w:eastAsia="Aptos Display" w:hAnsi="Aptos Display" w:cs="Aptos Display"/>
          <w:sz w:val="24"/>
          <w:szCs w:val="24"/>
        </w:rPr>
        <w:t xml:space="preserve"> must read and </w:t>
      </w:r>
      <w:r w:rsidR="00D424E6">
        <w:rPr>
          <w:rFonts w:ascii="Aptos Display" w:eastAsia="Aptos Display" w:hAnsi="Aptos Display" w:cs="Aptos Display"/>
          <w:sz w:val="24"/>
          <w:szCs w:val="24"/>
        </w:rPr>
        <w:t xml:space="preserve">comply with </w:t>
      </w:r>
      <w:r w:rsidRPr="144BA2E7">
        <w:rPr>
          <w:rFonts w:ascii="Aptos Display" w:eastAsia="Aptos Display" w:hAnsi="Aptos Display" w:cs="Aptos Display"/>
          <w:sz w:val="24"/>
          <w:szCs w:val="24"/>
        </w:rPr>
        <w:t xml:space="preserve">the complete terms and conditions included with every annual award and any subsequent amendments. This </w:t>
      </w:r>
      <w:r w:rsidR="00D424E6">
        <w:rPr>
          <w:rFonts w:ascii="Aptos Display" w:eastAsia="Aptos Display" w:hAnsi="Aptos Display" w:cs="Aptos Display"/>
          <w:sz w:val="24"/>
          <w:szCs w:val="24"/>
        </w:rPr>
        <w:t xml:space="preserve">information </w:t>
      </w:r>
      <w:r w:rsidRPr="144BA2E7">
        <w:rPr>
          <w:rFonts w:ascii="Aptos Display" w:eastAsia="Aptos Display" w:hAnsi="Aptos Display" w:cs="Aptos Display"/>
          <w:sz w:val="24"/>
          <w:szCs w:val="24"/>
        </w:rPr>
        <w:t xml:space="preserve">supplements but does not replace </w:t>
      </w:r>
      <w:r w:rsidR="00D424E6">
        <w:rPr>
          <w:rFonts w:ascii="Aptos Display" w:eastAsia="Aptos Display" w:hAnsi="Aptos Display" w:cs="Aptos Display"/>
          <w:sz w:val="24"/>
          <w:szCs w:val="24"/>
        </w:rPr>
        <w:t xml:space="preserve">the requirements in </w:t>
      </w:r>
      <w:r w:rsidRPr="144BA2E7">
        <w:rPr>
          <w:rFonts w:ascii="Aptos Display" w:eastAsia="Aptos Display" w:hAnsi="Aptos Display" w:cs="Aptos Display"/>
          <w:sz w:val="24"/>
          <w:szCs w:val="24"/>
        </w:rPr>
        <w:t>those award documents.</w:t>
      </w:r>
    </w:p>
    <w:p w14:paraId="4188995D" w14:textId="28E1F807" w:rsidR="144BA2E7" w:rsidRDefault="144BA2E7" w:rsidP="144BA2E7">
      <w:pPr>
        <w:spacing w:before="240" w:after="240"/>
        <w:rPr>
          <w:rFonts w:ascii="Aptos Display" w:eastAsia="Aptos Display" w:hAnsi="Aptos Display" w:cs="Aptos Display"/>
          <w:sz w:val="24"/>
          <w:szCs w:val="24"/>
        </w:rPr>
      </w:pPr>
      <w:r w:rsidRPr="144BA2E7">
        <w:rPr>
          <w:rFonts w:ascii="Aptos Display" w:eastAsia="Aptos Display" w:hAnsi="Aptos Display" w:cs="Aptos Display"/>
          <w:sz w:val="24"/>
          <w:szCs w:val="24"/>
        </w:rPr>
        <w:t>CIL</w:t>
      </w:r>
      <w:r w:rsidR="00D424E6">
        <w:rPr>
          <w:rFonts w:ascii="Aptos Display" w:eastAsia="Aptos Display" w:hAnsi="Aptos Display" w:cs="Aptos Display"/>
          <w:sz w:val="24"/>
          <w:szCs w:val="24"/>
        </w:rPr>
        <w:t>s</w:t>
      </w:r>
      <w:r w:rsidRPr="144BA2E7">
        <w:rPr>
          <w:rFonts w:ascii="Aptos Display" w:eastAsia="Aptos Display" w:hAnsi="Aptos Display" w:cs="Aptos Display"/>
          <w:sz w:val="24"/>
          <w:szCs w:val="24"/>
        </w:rPr>
        <w:t xml:space="preserve"> that receive ACL funding must acknowledge federal support when publicly describing the CIL or its federally funded projects, activities, and services. The acknowledgment must include the applicable federal and nongovernmental funding amounts and percentages, along with the required disclaimer. A funding credit or federal logo alone is not sufficient.</w:t>
      </w:r>
    </w:p>
    <w:p w14:paraId="456DF864" w14:textId="354C90AB" w:rsidR="144BA2E7" w:rsidRDefault="144BA2E7" w:rsidP="144BA2E7">
      <w:pPr>
        <w:pStyle w:val="Heading1"/>
        <w:rPr>
          <w:rFonts w:ascii="Aptos Display" w:eastAsia="Aptos Display" w:hAnsi="Aptos Display" w:cs="Aptos Display"/>
          <w:sz w:val="36"/>
          <w:szCs w:val="36"/>
        </w:rPr>
      </w:pPr>
      <w:r w:rsidRPr="144BA2E7">
        <w:rPr>
          <w:rFonts w:ascii="Aptos Display" w:eastAsia="Aptos Display" w:hAnsi="Aptos Display" w:cs="Aptos Display"/>
          <w:sz w:val="36"/>
          <w:szCs w:val="36"/>
        </w:rPr>
        <w:t xml:space="preserve">Communications that </w:t>
      </w:r>
      <w:r w:rsidR="002E54F8">
        <w:rPr>
          <w:rFonts w:ascii="Aptos Display" w:eastAsia="Aptos Display" w:hAnsi="Aptos Display" w:cs="Aptos Display"/>
          <w:sz w:val="36"/>
          <w:szCs w:val="36"/>
        </w:rPr>
        <w:t>M</w:t>
      </w:r>
      <w:r w:rsidRPr="144BA2E7">
        <w:rPr>
          <w:rFonts w:ascii="Aptos Display" w:eastAsia="Aptos Display" w:hAnsi="Aptos Display" w:cs="Aptos Display"/>
          <w:sz w:val="36"/>
          <w:szCs w:val="36"/>
        </w:rPr>
        <w:t xml:space="preserve">ay </w:t>
      </w:r>
      <w:r w:rsidR="002E54F8">
        <w:rPr>
          <w:rFonts w:ascii="Aptos Display" w:eastAsia="Aptos Display" w:hAnsi="Aptos Display" w:cs="Aptos Display"/>
          <w:sz w:val="36"/>
          <w:szCs w:val="36"/>
        </w:rPr>
        <w:t>R</w:t>
      </w:r>
      <w:r w:rsidRPr="144BA2E7">
        <w:rPr>
          <w:rFonts w:ascii="Aptos Display" w:eastAsia="Aptos Display" w:hAnsi="Aptos Display" w:cs="Aptos Display"/>
          <w:sz w:val="36"/>
          <w:szCs w:val="36"/>
        </w:rPr>
        <w:t xml:space="preserve">equire </w:t>
      </w:r>
      <w:r w:rsidR="002E54F8">
        <w:rPr>
          <w:rFonts w:ascii="Aptos Display" w:eastAsia="Aptos Display" w:hAnsi="Aptos Display" w:cs="Aptos Display"/>
          <w:sz w:val="36"/>
          <w:szCs w:val="36"/>
        </w:rPr>
        <w:t>Federal A</w:t>
      </w:r>
      <w:r w:rsidRPr="144BA2E7">
        <w:rPr>
          <w:rFonts w:ascii="Aptos Display" w:eastAsia="Aptos Display" w:hAnsi="Aptos Display" w:cs="Aptos Display"/>
          <w:sz w:val="36"/>
          <w:szCs w:val="36"/>
        </w:rPr>
        <w:t>cknowledgment</w:t>
      </w:r>
    </w:p>
    <w:p w14:paraId="2CBD0DED" w14:textId="335211C4" w:rsidR="144BA2E7" w:rsidRDefault="1B7E467C" w:rsidP="482BB210">
      <w:pPr>
        <w:spacing w:before="240" w:after="240"/>
        <w:rPr>
          <w:rFonts w:ascii="Aptos Display" w:eastAsia="Aptos Display" w:hAnsi="Aptos Display" w:cs="Aptos Display"/>
          <w:sz w:val="24"/>
          <w:szCs w:val="24"/>
        </w:rPr>
      </w:pPr>
      <w:r w:rsidRPr="482BB210">
        <w:rPr>
          <w:rFonts w:ascii="Aptos Display" w:eastAsia="Aptos Display" w:hAnsi="Aptos Display" w:cs="Aptos Display"/>
          <w:sz w:val="24"/>
          <w:szCs w:val="24"/>
        </w:rPr>
        <w:t xml:space="preserve">The list below provides examples for when to </w:t>
      </w:r>
      <w:r w:rsidR="663122CF" w:rsidRPr="482BB210">
        <w:rPr>
          <w:rFonts w:ascii="Aptos Display" w:eastAsia="Aptos Display" w:hAnsi="Aptos Display" w:cs="Aptos Display"/>
          <w:sz w:val="24"/>
          <w:szCs w:val="24"/>
        </w:rPr>
        <w:t>i</w:t>
      </w:r>
      <w:r w:rsidR="144BA2E7" w:rsidRPr="482BB210">
        <w:rPr>
          <w:rFonts w:ascii="Aptos Display" w:eastAsia="Aptos Display" w:hAnsi="Aptos Display" w:cs="Aptos Display"/>
          <w:sz w:val="24"/>
          <w:szCs w:val="24"/>
        </w:rPr>
        <w:t xml:space="preserve">nclude the acknowledgment </w:t>
      </w:r>
      <w:r w:rsidR="002B6BCD" w:rsidRPr="482BB210">
        <w:rPr>
          <w:rFonts w:ascii="Aptos Display" w:eastAsia="Aptos Display" w:hAnsi="Aptos Display" w:cs="Aptos Display"/>
          <w:sz w:val="24"/>
          <w:szCs w:val="24"/>
        </w:rPr>
        <w:t>of</w:t>
      </w:r>
      <w:r w:rsidR="00990043" w:rsidRPr="482BB210">
        <w:rPr>
          <w:rFonts w:ascii="Aptos Display" w:eastAsia="Aptos Display" w:hAnsi="Aptos Display" w:cs="Aptos Display"/>
          <w:sz w:val="24"/>
          <w:szCs w:val="24"/>
        </w:rPr>
        <w:t xml:space="preserve"> federal support </w:t>
      </w:r>
      <w:r w:rsidR="144BA2E7" w:rsidRPr="482BB210">
        <w:rPr>
          <w:rFonts w:ascii="Aptos Display" w:eastAsia="Aptos Display" w:hAnsi="Aptos Display" w:cs="Aptos Display"/>
          <w:sz w:val="24"/>
          <w:szCs w:val="24"/>
        </w:rPr>
        <w:t xml:space="preserve">in public communications that describe the Center for Independent Living or its ACL-funded work. Websites, blogs, and vlogs </w:t>
      </w:r>
    </w:p>
    <w:p w14:paraId="28311472" w14:textId="10EAC0FC" w:rsidR="144BA2E7" w:rsidRDefault="144BA2E7" w:rsidP="144BA2E7">
      <w:pPr>
        <w:pStyle w:val="ListParagraph"/>
        <w:numPr>
          <w:ilvl w:val="0"/>
          <w:numId w:val="5"/>
        </w:numPr>
        <w:spacing w:after="0"/>
        <w:rPr>
          <w:rFonts w:ascii="Aptos Display" w:eastAsia="Aptos Display" w:hAnsi="Aptos Display" w:cs="Aptos Display"/>
          <w:sz w:val="24"/>
          <w:szCs w:val="24"/>
        </w:rPr>
      </w:pPr>
      <w:r w:rsidRPr="144BA2E7">
        <w:rPr>
          <w:rFonts w:ascii="Aptos Display" w:eastAsia="Aptos Display" w:hAnsi="Aptos Display" w:cs="Aptos Display"/>
          <w:sz w:val="24"/>
          <w:szCs w:val="24"/>
        </w:rPr>
        <w:t xml:space="preserve">Brochures, case studies, curricula, issue briefs, manuals, resource guides, and toolkits </w:t>
      </w:r>
    </w:p>
    <w:p w14:paraId="5353AE77" w14:textId="69232242" w:rsidR="144BA2E7" w:rsidRDefault="144BA2E7" w:rsidP="144BA2E7">
      <w:pPr>
        <w:pStyle w:val="ListParagraph"/>
        <w:numPr>
          <w:ilvl w:val="0"/>
          <w:numId w:val="5"/>
        </w:numPr>
        <w:spacing w:after="0"/>
        <w:rPr>
          <w:rFonts w:ascii="Aptos Display" w:eastAsia="Aptos Display" w:hAnsi="Aptos Display" w:cs="Aptos Display"/>
          <w:sz w:val="24"/>
          <w:szCs w:val="24"/>
        </w:rPr>
      </w:pPr>
      <w:r w:rsidRPr="144BA2E7">
        <w:rPr>
          <w:rFonts w:ascii="Aptos Display" w:eastAsia="Aptos Display" w:hAnsi="Aptos Display" w:cs="Aptos Display"/>
          <w:sz w:val="24"/>
          <w:szCs w:val="24"/>
        </w:rPr>
        <w:t xml:space="preserve">Email blasts, but not routine individual emails </w:t>
      </w:r>
    </w:p>
    <w:p w14:paraId="50F8D882" w14:textId="7C721424" w:rsidR="144BA2E7" w:rsidRDefault="144BA2E7" w:rsidP="144BA2E7">
      <w:pPr>
        <w:pStyle w:val="ListParagraph"/>
        <w:numPr>
          <w:ilvl w:val="0"/>
          <w:numId w:val="5"/>
        </w:numPr>
        <w:spacing w:after="0"/>
        <w:rPr>
          <w:rFonts w:ascii="Aptos Display" w:eastAsia="Aptos Display" w:hAnsi="Aptos Display" w:cs="Aptos Display"/>
          <w:sz w:val="24"/>
          <w:szCs w:val="24"/>
        </w:rPr>
      </w:pPr>
      <w:r w:rsidRPr="144BA2E7">
        <w:rPr>
          <w:rFonts w:ascii="Aptos Display" w:eastAsia="Aptos Display" w:hAnsi="Aptos Display" w:cs="Aptos Display"/>
          <w:sz w:val="24"/>
          <w:szCs w:val="24"/>
        </w:rPr>
        <w:t xml:space="preserve">Press releases and public statements </w:t>
      </w:r>
    </w:p>
    <w:p w14:paraId="706FEA66" w14:textId="15D33239" w:rsidR="144BA2E7" w:rsidRDefault="144BA2E7" w:rsidP="144BA2E7">
      <w:pPr>
        <w:pStyle w:val="ListParagraph"/>
        <w:numPr>
          <w:ilvl w:val="0"/>
          <w:numId w:val="5"/>
        </w:numPr>
        <w:spacing w:after="0"/>
        <w:rPr>
          <w:rFonts w:ascii="Aptos Display" w:eastAsia="Aptos Display" w:hAnsi="Aptos Display" w:cs="Aptos Display"/>
          <w:sz w:val="24"/>
          <w:szCs w:val="24"/>
        </w:rPr>
      </w:pPr>
      <w:r w:rsidRPr="144BA2E7">
        <w:rPr>
          <w:rFonts w:ascii="Aptos Display" w:eastAsia="Aptos Display" w:hAnsi="Aptos Display" w:cs="Aptos Display"/>
          <w:sz w:val="24"/>
          <w:szCs w:val="24"/>
        </w:rPr>
        <w:t xml:space="preserve">Presentations, posters, flyers, and advertisements </w:t>
      </w:r>
    </w:p>
    <w:p w14:paraId="58A88BBC" w14:textId="4B1AEB9B" w:rsidR="144BA2E7" w:rsidRDefault="144BA2E7" w:rsidP="144BA2E7">
      <w:pPr>
        <w:pStyle w:val="ListParagraph"/>
        <w:numPr>
          <w:ilvl w:val="0"/>
          <w:numId w:val="5"/>
        </w:numPr>
        <w:spacing w:after="0"/>
        <w:rPr>
          <w:rFonts w:ascii="Aptos Display" w:eastAsia="Aptos Display" w:hAnsi="Aptos Display" w:cs="Aptos Display"/>
          <w:sz w:val="24"/>
          <w:szCs w:val="24"/>
        </w:rPr>
      </w:pPr>
      <w:r w:rsidRPr="144BA2E7">
        <w:rPr>
          <w:rFonts w:ascii="Aptos Display" w:eastAsia="Aptos Display" w:hAnsi="Aptos Display" w:cs="Aptos Display"/>
          <w:sz w:val="24"/>
          <w:szCs w:val="24"/>
        </w:rPr>
        <w:t xml:space="preserve">Requests for proposals and bid solicitations </w:t>
      </w:r>
    </w:p>
    <w:p w14:paraId="2FDDAE5D" w14:textId="7C3026E3" w:rsidR="144BA2E7" w:rsidRDefault="144BA2E7" w:rsidP="144BA2E7">
      <w:pPr>
        <w:pStyle w:val="ListParagraph"/>
        <w:numPr>
          <w:ilvl w:val="0"/>
          <w:numId w:val="5"/>
        </w:numPr>
        <w:spacing w:after="0"/>
        <w:rPr>
          <w:rFonts w:ascii="Aptos Display" w:eastAsia="Aptos Display" w:hAnsi="Aptos Display" w:cs="Aptos Display"/>
          <w:sz w:val="24"/>
          <w:szCs w:val="24"/>
        </w:rPr>
      </w:pPr>
      <w:r w:rsidRPr="144BA2E7">
        <w:rPr>
          <w:rFonts w:ascii="Aptos Display" w:eastAsia="Aptos Display" w:hAnsi="Aptos Display" w:cs="Aptos Display"/>
          <w:sz w:val="24"/>
          <w:szCs w:val="24"/>
        </w:rPr>
        <w:t xml:space="preserve">Downloadable publications and other public-facing materials </w:t>
      </w:r>
    </w:p>
    <w:p w14:paraId="0FC8F881" w14:textId="4CEC5444" w:rsidR="144BA2E7" w:rsidRDefault="144BA2E7" w:rsidP="144BA2E7">
      <w:pPr>
        <w:spacing w:before="240" w:after="240"/>
        <w:rPr>
          <w:rFonts w:ascii="Aptos Display" w:eastAsia="Aptos Display" w:hAnsi="Aptos Display" w:cs="Aptos Display"/>
          <w:sz w:val="24"/>
          <w:szCs w:val="24"/>
        </w:rPr>
      </w:pPr>
      <w:r w:rsidRPr="144BA2E7">
        <w:rPr>
          <w:rFonts w:ascii="Aptos Display" w:eastAsia="Aptos Display" w:hAnsi="Aptos Display" w:cs="Aptos Display"/>
          <w:sz w:val="24"/>
          <w:szCs w:val="24"/>
        </w:rPr>
        <w:t>This list is not exhaustive. Review the annual award terms and conditions when deciding whether a communication requires the acknowledgment.</w:t>
      </w:r>
    </w:p>
    <w:p w14:paraId="0AE9A8BD" w14:textId="38C560ED" w:rsidR="144BA2E7" w:rsidRDefault="144BA2E7" w:rsidP="144BA2E7">
      <w:pPr>
        <w:rPr>
          <w:rFonts w:ascii="Aptos Display" w:eastAsia="Aptos Display" w:hAnsi="Aptos Display" w:cs="Aptos Display"/>
          <w:i/>
          <w:iCs/>
          <w:sz w:val="24"/>
          <w:szCs w:val="24"/>
        </w:rPr>
      </w:pPr>
      <w:r w:rsidRPr="144BA2E7">
        <w:rPr>
          <w:rFonts w:ascii="Aptos Display" w:eastAsia="Aptos Display" w:hAnsi="Aptos Display" w:cs="Aptos Display"/>
          <w:i/>
          <w:iCs/>
          <w:sz w:val="24"/>
          <w:szCs w:val="24"/>
        </w:rPr>
        <w:t xml:space="preserve">These examples are adapted from the </w:t>
      </w:r>
      <w:hyperlink r:id="rId8">
        <w:r w:rsidRPr="144BA2E7">
          <w:rPr>
            <w:rStyle w:val="Hyperlink"/>
            <w:rFonts w:ascii="Aptos Display" w:eastAsia="Aptos Display" w:hAnsi="Aptos Display" w:cs="Aptos Display"/>
            <w:i/>
            <w:iCs/>
            <w:sz w:val="24"/>
            <w:szCs w:val="24"/>
          </w:rPr>
          <w:t>ITACC resource</w:t>
        </w:r>
      </w:hyperlink>
      <w:r w:rsidRPr="144BA2E7">
        <w:rPr>
          <w:rFonts w:ascii="Aptos Display" w:eastAsia="Aptos Display" w:hAnsi="Aptos Display" w:cs="Aptos Display"/>
          <w:i/>
          <w:iCs/>
          <w:sz w:val="24"/>
          <w:szCs w:val="24"/>
        </w:rPr>
        <w:t xml:space="preserve"> cited by ACL.</w:t>
      </w:r>
    </w:p>
    <w:p w14:paraId="0C08994B" w14:textId="079DE645" w:rsidR="00B06B57" w:rsidRPr="00081A2A" w:rsidRDefault="002E54F8" w:rsidP="144BA2E7">
      <w:pPr>
        <w:pStyle w:val="Heading1"/>
        <w:rPr>
          <w:rFonts w:ascii="Aptos Display" w:eastAsia="Aptos Display" w:hAnsi="Aptos Display" w:cs="Aptos Display"/>
          <w:sz w:val="36"/>
          <w:szCs w:val="36"/>
        </w:rPr>
      </w:pPr>
      <w:r>
        <w:rPr>
          <w:rFonts w:ascii="Aptos Display" w:eastAsia="Aptos Display" w:hAnsi="Aptos Display" w:cs="Aptos Display"/>
          <w:sz w:val="36"/>
          <w:szCs w:val="36"/>
        </w:rPr>
        <w:t>Sample Acknowledgement S</w:t>
      </w:r>
      <w:r w:rsidR="144BA2E7" w:rsidRPr="144BA2E7">
        <w:rPr>
          <w:rFonts w:ascii="Aptos Display" w:eastAsia="Aptos Display" w:hAnsi="Aptos Display" w:cs="Aptos Display"/>
          <w:sz w:val="36"/>
          <w:szCs w:val="36"/>
        </w:rPr>
        <w:t>tatement</w:t>
      </w:r>
      <w:r>
        <w:rPr>
          <w:rFonts w:ascii="Aptos Display" w:eastAsia="Aptos Display" w:hAnsi="Aptos Display" w:cs="Aptos Display"/>
          <w:sz w:val="36"/>
          <w:szCs w:val="36"/>
        </w:rPr>
        <w:t>s</w:t>
      </w:r>
    </w:p>
    <w:p w14:paraId="313AB938" w14:textId="14F986BE" w:rsidR="002B6BCD" w:rsidRDefault="002B6BCD" w:rsidP="144BA2E7">
      <w:pPr>
        <w:spacing w:before="240" w:after="240"/>
        <w:rPr>
          <w:rFonts w:ascii="Aptos Display" w:eastAsia="Aptos Display" w:hAnsi="Aptos Display" w:cs="Aptos Display"/>
          <w:sz w:val="24"/>
          <w:szCs w:val="24"/>
        </w:rPr>
      </w:pPr>
      <w:r>
        <w:rPr>
          <w:rFonts w:ascii="Aptos Display" w:eastAsia="Aptos Display" w:hAnsi="Aptos Display" w:cs="Aptos Display"/>
          <w:sz w:val="24"/>
          <w:szCs w:val="24"/>
        </w:rPr>
        <w:t xml:space="preserve">To meet the Rehab Act and Stevens Amendments requirements, use the language below based on the CIL funding. </w:t>
      </w:r>
      <w:r w:rsidR="00990043" w:rsidRPr="00990043">
        <w:rPr>
          <w:rFonts w:ascii="Aptos Display" w:eastAsia="Aptos Display" w:hAnsi="Aptos Display" w:cs="Aptos Display"/>
          <w:sz w:val="24"/>
          <w:szCs w:val="24"/>
        </w:rPr>
        <w:t>Regardless of the official name of your Center for Independent Living, its website must identify that the organization is a Center for Independent Living.</w:t>
      </w:r>
      <w:r w:rsidR="00990043">
        <w:rPr>
          <w:rFonts w:ascii="Aptos Display" w:eastAsia="Aptos Display" w:hAnsi="Aptos Display" w:cs="Aptos Display"/>
          <w:sz w:val="24"/>
          <w:szCs w:val="24"/>
        </w:rPr>
        <w:t xml:space="preserve"> Following is excerpted language </w:t>
      </w:r>
      <w:r w:rsidR="002E54F8">
        <w:rPr>
          <w:rFonts w:ascii="Aptos Display" w:eastAsia="Aptos Display" w:hAnsi="Aptos Display" w:cs="Aptos Display"/>
          <w:sz w:val="24"/>
          <w:szCs w:val="24"/>
        </w:rPr>
        <w:t xml:space="preserve">from </w:t>
      </w:r>
      <w:hyperlink r:id="rId9" w:history="1">
        <w:r w:rsidR="002E54F8" w:rsidRPr="00EC570C">
          <w:rPr>
            <w:rStyle w:val="Hyperlink"/>
            <w:rFonts w:ascii="Aptos Display" w:eastAsia="Aptos Display" w:hAnsi="Aptos Display" w:cs="Aptos Display"/>
            <w:sz w:val="24"/>
            <w:szCs w:val="24"/>
          </w:rPr>
          <w:t>https://acl.gov/grants/managing-grant</w:t>
        </w:r>
      </w:hyperlink>
      <w:r w:rsidR="002E54F8">
        <w:rPr>
          <w:rFonts w:ascii="Aptos Display" w:eastAsia="Aptos Display" w:hAnsi="Aptos Display" w:cs="Aptos Display"/>
          <w:sz w:val="24"/>
          <w:szCs w:val="24"/>
        </w:rPr>
        <w:t>.</w:t>
      </w:r>
    </w:p>
    <w:p w14:paraId="70FC7539" w14:textId="7A46D4B5" w:rsidR="00B06B57" w:rsidRPr="00BB6C46" w:rsidRDefault="002B6BCD" w:rsidP="002E54F8">
      <w:pPr>
        <w:pStyle w:val="ListParagraph"/>
        <w:numPr>
          <w:ilvl w:val="0"/>
          <w:numId w:val="18"/>
        </w:numPr>
        <w:spacing w:before="240" w:after="240"/>
        <w:rPr>
          <w:rFonts w:ascii="Aptos Display" w:eastAsia="Aptos Display" w:hAnsi="Aptos Display" w:cs="Aptos Display"/>
          <w:sz w:val="24"/>
          <w:szCs w:val="24"/>
        </w:rPr>
      </w:pPr>
      <w:r w:rsidRPr="00990043">
        <w:rPr>
          <w:rFonts w:ascii="Aptos Display" w:eastAsia="Aptos Display" w:hAnsi="Aptos Display" w:cs="Aptos Display"/>
          <w:b/>
          <w:bCs/>
          <w:i/>
          <w:iCs/>
          <w:sz w:val="24"/>
          <w:szCs w:val="24"/>
        </w:rPr>
        <w:t xml:space="preserve">CILs </w:t>
      </w:r>
      <w:r w:rsidR="00990043">
        <w:rPr>
          <w:rFonts w:ascii="Aptos Display" w:eastAsia="Aptos Display" w:hAnsi="Aptos Display" w:cs="Aptos Display"/>
          <w:b/>
          <w:bCs/>
          <w:i/>
          <w:iCs/>
          <w:sz w:val="24"/>
          <w:szCs w:val="24"/>
        </w:rPr>
        <w:t>that receive both</w:t>
      </w:r>
      <w:r w:rsidRPr="00990043">
        <w:rPr>
          <w:rFonts w:ascii="Aptos Display" w:eastAsia="Aptos Display" w:hAnsi="Aptos Display" w:cs="Aptos Display"/>
          <w:b/>
          <w:bCs/>
          <w:i/>
          <w:iCs/>
          <w:sz w:val="24"/>
          <w:szCs w:val="24"/>
        </w:rPr>
        <w:t xml:space="preserve"> federal and non-federal funding:</w:t>
      </w:r>
      <w:r>
        <w:rPr>
          <w:rFonts w:ascii="Aptos Display" w:eastAsia="Aptos Display" w:hAnsi="Aptos Display" w:cs="Aptos Display"/>
          <w:i/>
          <w:iCs/>
          <w:sz w:val="24"/>
          <w:szCs w:val="24"/>
        </w:rPr>
        <w:t xml:space="preserve"> </w:t>
      </w:r>
      <w:r w:rsidR="002E54F8">
        <w:rPr>
          <w:rFonts w:ascii="Aptos Display" w:eastAsia="Aptos Display" w:hAnsi="Aptos Display" w:cs="Aptos Display"/>
          <w:i/>
          <w:iCs/>
          <w:sz w:val="24"/>
          <w:szCs w:val="24"/>
        </w:rPr>
        <w:t xml:space="preserve"> </w:t>
      </w:r>
      <w:r w:rsidR="144BA2E7" w:rsidRPr="002E54F8">
        <w:rPr>
          <w:rFonts w:ascii="Aptos Display" w:eastAsia="Aptos Display" w:hAnsi="Aptos Display" w:cs="Aptos Display"/>
          <w:i/>
          <w:iCs/>
          <w:sz w:val="24"/>
          <w:szCs w:val="24"/>
        </w:rPr>
        <w:t>This Center for Independent Living [is/was] supported by the Administration for Community Living (ACL), U.S. Department of Health and Human Services (HHS) as part of a financial assistance award totaling $[ACL/HHS award amount] with [percentage] percent funded by ACL/HHS and $[amount] and [percentage] percent funded by non-government source(s). The contents are those of the author(s) and do not necessarily represent the official views of, nor an endorsement by, ACL/HHS, or the U.S. Government.</w:t>
      </w:r>
    </w:p>
    <w:p w14:paraId="7E48CD10" w14:textId="77777777" w:rsidR="00BB6C46" w:rsidRPr="00BB6C46" w:rsidRDefault="00BB6C46" w:rsidP="00BB6C46">
      <w:pPr>
        <w:pStyle w:val="ListParagraph"/>
        <w:spacing w:before="240" w:after="240"/>
        <w:rPr>
          <w:rFonts w:ascii="Aptos Display" w:eastAsia="Aptos Display" w:hAnsi="Aptos Display" w:cs="Aptos Display"/>
          <w:sz w:val="24"/>
          <w:szCs w:val="24"/>
        </w:rPr>
      </w:pPr>
    </w:p>
    <w:p w14:paraId="7455BF39" w14:textId="4F26DDDF" w:rsidR="00BB6C46" w:rsidRPr="002E54F8" w:rsidRDefault="00BB6C46" w:rsidP="00BB6C46">
      <w:pPr>
        <w:pStyle w:val="ListParagraph"/>
        <w:numPr>
          <w:ilvl w:val="1"/>
          <w:numId w:val="18"/>
        </w:numPr>
        <w:spacing w:before="240" w:after="240"/>
        <w:rPr>
          <w:rFonts w:ascii="Aptos Display" w:eastAsia="Aptos Display" w:hAnsi="Aptos Display" w:cs="Aptos Display"/>
          <w:sz w:val="24"/>
          <w:szCs w:val="24"/>
        </w:rPr>
      </w:pPr>
      <w:r>
        <w:rPr>
          <w:rFonts w:ascii="Aptos Display" w:eastAsia="Aptos Display" w:hAnsi="Aptos Display" w:cs="Aptos Display"/>
          <w:b/>
          <w:bCs/>
          <w:i/>
          <w:iCs/>
          <w:sz w:val="24"/>
          <w:szCs w:val="24"/>
        </w:rPr>
        <w:t>Example:</w:t>
      </w:r>
      <w:r>
        <w:rPr>
          <w:rFonts w:ascii="Aptos Display" w:eastAsia="Aptos Display" w:hAnsi="Aptos Display" w:cs="Aptos Display"/>
          <w:sz w:val="24"/>
          <w:szCs w:val="24"/>
        </w:rPr>
        <w:t xml:space="preserve"> </w:t>
      </w:r>
      <w:r w:rsidRPr="00BB6C46">
        <w:rPr>
          <w:rFonts w:ascii="Aptos Display" w:eastAsia="Aptos Display" w:hAnsi="Aptos Display" w:cs="Aptos Display"/>
          <w:i/>
          <w:iCs/>
          <w:sz w:val="24"/>
          <w:szCs w:val="24"/>
        </w:rPr>
        <w:t xml:space="preserve">This Center for Independent Living is supported by the Administration for Community Living (ACL), U.S. Department of Health and Human Services (HHS), as part of a financial assistance award totaling $800,000 with 80 percent funded by ACL/HHS and $200,000, or 20 percent, funded by nongovernmental sources. The contents are those of the </w:t>
      </w:r>
      <w:r w:rsidRPr="00BB6C46">
        <w:rPr>
          <w:rFonts w:ascii="Aptos Display" w:eastAsia="Aptos Display" w:hAnsi="Aptos Display" w:cs="Aptos Display"/>
          <w:i/>
          <w:iCs/>
          <w:sz w:val="24"/>
          <w:szCs w:val="24"/>
        </w:rPr>
        <w:lastRenderedPageBreak/>
        <w:t>author(s) and do not necessarily represent the official views of, nor an endorsement by, ACL/HHS or the U.S. Government.</w:t>
      </w:r>
    </w:p>
    <w:p w14:paraId="62894AA0" w14:textId="77777777" w:rsidR="002E54F8" w:rsidRPr="002E54F8" w:rsidRDefault="002E54F8" w:rsidP="002E54F8">
      <w:pPr>
        <w:pStyle w:val="ListParagraph"/>
        <w:spacing w:before="240" w:after="240"/>
        <w:rPr>
          <w:rFonts w:ascii="Aptos Display" w:eastAsia="Aptos Display" w:hAnsi="Aptos Display" w:cs="Aptos Display"/>
          <w:sz w:val="24"/>
          <w:szCs w:val="24"/>
        </w:rPr>
      </w:pPr>
    </w:p>
    <w:p w14:paraId="3509D240" w14:textId="105D926D" w:rsidR="002B6BCD" w:rsidRDefault="002B6BCD" w:rsidP="002B6BCD">
      <w:pPr>
        <w:pStyle w:val="ListParagraph"/>
        <w:numPr>
          <w:ilvl w:val="0"/>
          <w:numId w:val="18"/>
        </w:numPr>
        <w:rPr>
          <w:rFonts w:ascii="Aptos Display" w:eastAsia="Aptos Display" w:hAnsi="Aptos Display" w:cs="Aptos Display"/>
          <w:i/>
          <w:iCs/>
          <w:sz w:val="24"/>
          <w:szCs w:val="24"/>
        </w:rPr>
      </w:pPr>
      <w:r w:rsidRPr="002E54F8">
        <w:rPr>
          <w:rFonts w:ascii="Aptos Display" w:eastAsia="Aptos Display" w:hAnsi="Aptos Display" w:cs="Aptos Display"/>
          <w:b/>
          <w:bCs/>
          <w:i/>
          <w:iCs/>
          <w:sz w:val="24"/>
          <w:szCs w:val="24"/>
        </w:rPr>
        <w:t xml:space="preserve">CILs with </w:t>
      </w:r>
      <w:r w:rsidR="144BA2E7" w:rsidRPr="002E54F8">
        <w:rPr>
          <w:rFonts w:ascii="Aptos Display" w:eastAsia="Aptos Display" w:hAnsi="Aptos Display" w:cs="Aptos Display"/>
          <w:b/>
          <w:bCs/>
          <w:i/>
          <w:iCs/>
          <w:sz w:val="24"/>
          <w:szCs w:val="24"/>
        </w:rPr>
        <w:t>100 percent ACL/HHS funding</w:t>
      </w:r>
      <w:r w:rsidRPr="002E54F8">
        <w:rPr>
          <w:rFonts w:ascii="Aptos Display" w:eastAsia="Aptos Display" w:hAnsi="Aptos Display" w:cs="Aptos Display"/>
          <w:b/>
          <w:bCs/>
          <w:i/>
          <w:iCs/>
          <w:sz w:val="24"/>
          <w:szCs w:val="24"/>
        </w:rPr>
        <w:t>:</w:t>
      </w:r>
      <w:r w:rsidR="144BA2E7" w:rsidRPr="002E54F8">
        <w:rPr>
          <w:rFonts w:ascii="Aptos Display" w:eastAsia="Aptos Display" w:hAnsi="Aptos Display" w:cs="Aptos Display"/>
          <w:b/>
          <w:bCs/>
          <w:sz w:val="24"/>
          <w:szCs w:val="24"/>
        </w:rPr>
        <w:t xml:space="preserve"> </w:t>
      </w:r>
      <w:r w:rsidR="002E54F8">
        <w:rPr>
          <w:rFonts w:ascii="Aptos Display" w:eastAsia="Aptos Display" w:hAnsi="Aptos Display" w:cs="Aptos Display"/>
          <w:b/>
          <w:bCs/>
          <w:sz w:val="24"/>
          <w:szCs w:val="24"/>
        </w:rPr>
        <w:t xml:space="preserve"> </w:t>
      </w:r>
      <w:r w:rsidRPr="002E54F8">
        <w:rPr>
          <w:rFonts w:ascii="Aptos Display" w:eastAsia="Aptos Display" w:hAnsi="Aptos Display" w:cs="Aptos Display"/>
          <w:i/>
          <w:iCs/>
          <w:sz w:val="24"/>
          <w:szCs w:val="24"/>
        </w:rPr>
        <w:t xml:space="preserve">This Center for Independent Living [is/was] supported by the Administration for Community Living (ACL), U.S. Department of Health and Human Services (HHS) as part of a financial assistance award totaling $[ACL/HHS award amount] with </w:t>
      </w:r>
      <w:r w:rsidR="00990043" w:rsidRPr="002E54F8">
        <w:rPr>
          <w:rFonts w:ascii="Aptos Display" w:eastAsia="Aptos Display" w:hAnsi="Aptos Display" w:cs="Aptos Display"/>
          <w:i/>
          <w:iCs/>
          <w:sz w:val="24"/>
          <w:szCs w:val="24"/>
        </w:rPr>
        <w:t>100</w:t>
      </w:r>
      <w:r w:rsidRPr="002E54F8">
        <w:rPr>
          <w:rFonts w:ascii="Aptos Display" w:eastAsia="Aptos Display" w:hAnsi="Aptos Display" w:cs="Aptos Display"/>
          <w:i/>
          <w:iCs/>
          <w:sz w:val="24"/>
          <w:szCs w:val="24"/>
        </w:rPr>
        <w:t xml:space="preserve"> percent funded by ACL/HHS. The contents are those of the author(s) and do not necessarily represent the official views of, nor an endorsement by, ACL/HHS, or the U.S. Government.</w:t>
      </w:r>
    </w:p>
    <w:p w14:paraId="0DF8AE49" w14:textId="77777777" w:rsidR="00BB6C46" w:rsidRDefault="00BB6C46" w:rsidP="00BB6C46">
      <w:pPr>
        <w:pStyle w:val="ListParagraph"/>
        <w:rPr>
          <w:rFonts w:ascii="Aptos Display" w:eastAsia="Aptos Display" w:hAnsi="Aptos Display" w:cs="Aptos Display"/>
          <w:i/>
          <w:iCs/>
          <w:sz w:val="24"/>
          <w:szCs w:val="24"/>
        </w:rPr>
      </w:pPr>
    </w:p>
    <w:p w14:paraId="33832720" w14:textId="231F5FD5" w:rsidR="00BB6C46" w:rsidRDefault="00BB6C46" w:rsidP="00BB6C46">
      <w:pPr>
        <w:pStyle w:val="ListParagraph"/>
        <w:numPr>
          <w:ilvl w:val="1"/>
          <w:numId w:val="18"/>
        </w:numPr>
        <w:rPr>
          <w:rFonts w:ascii="Aptos Display" w:eastAsia="Aptos Display" w:hAnsi="Aptos Display" w:cs="Aptos Display"/>
          <w:i/>
          <w:iCs/>
          <w:sz w:val="24"/>
          <w:szCs w:val="24"/>
        </w:rPr>
      </w:pPr>
      <w:r w:rsidRPr="00BB6C46">
        <w:rPr>
          <w:rFonts w:ascii="Aptos Display" w:eastAsia="Aptos Display" w:hAnsi="Aptos Display" w:cs="Aptos Display"/>
          <w:b/>
          <w:bCs/>
          <w:i/>
          <w:iCs/>
          <w:sz w:val="24"/>
          <w:szCs w:val="24"/>
        </w:rPr>
        <w:t xml:space="preserve">Example: </w:t>
      </w:r>
      <w:r w:rsidRPr="00BB6C46">
        <w:rPr>
          <w:rFonts w:ascii="Aptos Display" w:eastAsia="Aptos Display" w:hAnsi="Aptos Display" w:cs="Aptos Display"/>
          <w:i/>
          <w:iCs/>
          <w:sz w:val="24"/>
          <w:szCs w:val="24"/>
        </w:rPr>
        <w:t>This Center for Independent Living is supported by the Administration for Community Living (ACL), U.S. Department of Health and Human Services (HHS), as part of a financial assistance award totaling $800,000 with 100 percent funded by ACL/HHS. The contents are those of the author(s) and do not necessarily represent the official views of, nor an endorsement by, ACL/HHS or the U.S. Government.</w:t>
      </w:r>
    </w:p>
    <w:p w14:paraId="6C7F4BD2" w14:textId="77777777" w:rsidR="00BB6C46" w:rsidRDefault="00BB6C46" w:rsidP="00BB6C46">
      <w:pPr>
        <w:pStyle w:val="Heading2"/>
        <w:numPr>
          <w:ilvl w:val="0"/>
          <w:numId w:val="18"/>
        </w:numPr>
        <w:spacing w:before="240" w:after="240"/>
        <w:rPr>
          <w:rFonts w:ascii="Aptos Display" w:eastAsia="Aptos Display" w:hAnsi="Aptos Display" w:cs="Aptos Display"/>
          <w:i/>
          <w:iCs/>
          <w:sz w:val="24"/>
          <w:szCs w:val="24"/>
        </w:rPr>
      </w:pPr>
      <w:r w:rsidRPr="00BB6C46">
        <w:rPr>
          <w:rFonts w:ascii="Aptos Display" w:eastAsia="Aptos Display" w:hAnsi="Aptos Display" w:cs="Aptos Display"/>
          <w:color w:val="auto"/>
          <w:sz w:val="24"/>
          <w:szCs w:val="24"/>
        </w:rPr>
        <w:t>Request for proposals or bid solicitation</w:t>
      </w:r>
      <w:r w:rsidRPr="00BB6C46">
        <w:rPr>
          <w:rFonts w:ascii="Aptos Display" w:eastAsia="Aptos Display" w:hAnsi="Aptos Display" w:cs="Aptos Display"/>
          <w:b w:val="0"/>
          <w:bCs w:val="0"/>
          <w:color w:val="auto"/>
          <w:sz w:val="24"/>
          <w:szCs w:val="24"/>
        </w:rPr>
        <w:t>:</w:t>
      </w:r>
      <w:r w:rsidRPr="00BB6C46">
        <w:rPr>
          <w:rFonts w:ascii="Aptos Display" w:eastAsia="Aptos Display" w:hAnsi="Aptos Display" w:cs="Aptos Display"/>
          <w:b w:val="0"/>
          <w:bCs w:val="0"/>
          <w:i/>
          <w:iCs/>
          <w:color w:val="auto"/>
        </w:rPr>
        <w:t xml:space="preserve"> </w:t>
      </w:r>
      <w:r w:rsidRPr="00BB6C46">
        <w:rPr>
          <w:rFonts w:ascii="Aptos Display" w:eastAsia="Aptos Display" w:hAnsi="Aptos Display" w:cs="Aptos Display"/>
          <w:b w:val="0"/>
          <w:bCs w:val="0"/>
          <w:i/>
          <w:iCs/>
          <w:color w:val="auto"/>
          <w:sz w:val="24"/>
          <w:szCs w:val="24"/>
        </w:rPr>
        <w:t>This solicitation is issued by [CIL name], a Center for Independent Living, and is supported by ACL/HHS as part of a financial assistance award totaling $800,000 with 100 percent funded by ACL/HHS.</w:t>
      </w:r>
    </w:p>
    <w:p w14:paraId="29BCF308" w14:textId="036F671B" w:rsidR="00BB6C46" w:rsidRPr="00BB6C46" w:rsidRDefault="00BB6C46" w:rsidP="00BB6C46">
      <w:pPr>
        <w:pStyle w:val="Heading2"/>
        <w:numPr>
          <w:ilvl w:val="0"/>
          <w:numId w:val="18"/>
        </w:numPr>
        <w:spacing w:before="240" w:after="240"/>
        <w:rPr>
          <w:rFonts w:ascii="Aptos Display" w:eastAsia="Aptos Display" w:hAnsi="Aptos Display" w:cs="Aptos Display"/>
          <w:i/>
          <w:iCs/>
          <w:sz w:val="24"/>
          <w:szCs w:val="24"/>
        </w:rPr>
      </w:pPr>
      <w:r w:rsidRPr="00BB6C46">
        <w:rPr>
          <w:rFonts w:ascii="Aptos Display" w:eastAsia="Aptos Display" w:hAnsi="Aptos Display" w:cs="Aptos Display"/>
          <w:color w:val="auto"/>
          <w:sz w:val="24"/>
          <w:szCs w:val="24"/>
        </w:rPr>
        <w:t>Social media:</w:t>
      </w:r>
      <w:r w:rsidRPr="00BB6C46">
        <w:rPr>
          <w:rFonts w:ascii="Aptos Display" w:eastAsia="Aptos Display" w:hAnsi="Aptos Display" w:cs="Aptos Display"/>
          <w:b w:val="0"/>
          <w:bCs w:val="0"/>
          <w:color w:val="auto"/>
          <w:sz w:val="24"/>
          <w:szCs w:val="24"/>
        </w:rPr>
        <w:t xml:space="preserve"> For federal funding information for [CIL name], a Center for Independent Living, visit [link to the complete funding acknowledgment].</w:t>
      </w:r>
    </w:p>
    <w:p w14:paraId="50C4492E" w14:textId="77777777" w:rsidR="00BB6C46" w:rsidRDefault="00BB6C46" w:rsidP="00BB6C46">
      <w:pPr>
        <w:spacing w:before="240" w:after="240"/>
        <w:rPr>
          <w:rFonts w:ascii="Aptos Display" w:eastAsia="Aptos Display" w:hAnsi="Aptos Display" w:cs="Aptos Display"/>
          <w:sz w:val="24"/>
          <w:szCs w:val="24"/>
        </w:rPr>
      </w:pPr>
      <w:r w:rsidRPr="144BA2E7">
        <w:rPr>
          <w:rFonts w:ascii="Aptos Display" w:eastAsia="Aptos Display" w:hAnsi="Aptos Display" w:cs="Aptos Display"/>
          <w:sz w:val="24"/>
          <w:szCs w:val="24"/>
        </w:rPr>
        <w:t xml:space="preserve">For separate examples for solicitations, public documents, websites, and social media and allows social media posts to link to the full website disclosure, reference the </w:t>
      </w:r>
      <w:hyperlink r:id="rId10">
        <w:r w:rsidRPr="144BA2E7">
          <w:rPr>
            <w:rStyle w:val="Hyperlink"/>
            <w:rFonts w:ascii="Aptos Display" w:eastAsia="Aptos Display" w:hAnsi="Aptos Display" w:cs="Aptos Display"/>
            <w:sz w:val="24"/>
            <w:szCs w:val="24"/>
          </w:rPr>
          <w:t>ITACC resource</w:t>
        </w:r>
      </w:hyperlink>
      <w:r w:rsidRPr="144BA2E7">
        <w:rPr>
          <w:rFonts w:ascii="Aptos Display" w:eastAsia="Aptos Display" w:hAnsi="Aptos Display" w:cs="Aptos Display"/>
          <w:sz w:val="24"/>
          <w:szCs w:val="24"/>
        </w:rPr>
        <w:t xml:space="preserve"> cited by ACL.</w:t>
      </w:r>
    </w:p>
    <w:p w14:paraId="24175DBD" w14:textId="341C86B8" w:rsidR="144BA2E7" w:rsidRDefault="144BA2E7" w:rsidP="144BA2E7">
      <w:pPr>
        <w:pStyle w:val="Heading1"/>
      </w:pPr>
      <w:r w:rsidRPr="144BA2E7">
        <w:rPr>
          <w:rFonts w:ascii="Aptos Display" w:eastAsia="Aptos Display" w:hAnsi="Aptos Display" w:cs="Aptos Display"/>
          <w:sz w:val="36"/>
          <w:szCs w:val="36"/>
        </w:rPr>
        <w:t xml:space="preserve">Steps for Updating your </w:t>
      </w:r>
      <w:r w:rsidR="002E54F8">
        <w:rPr>
          <w:rFonts w:ascii="Aptos Display" w:eastAsia="Aptos Display" w:hAnsi="Aptos Display" w:cs="Aptos Display"/>
          <w:sz w:val="36"/>
          <w:szCs w:val="36"/>
        </w:rPr>
        <w:t>Materials</w:t>
      </w:r>
    </w:p>
    <w:p w14:paraId="51241BC3" w14:textId="377C7495" w:rsidR="144BA2E7" w:rsidRDefault="144BA2E7" w:rsidP="144BA2E7">
      <w:pPr>
        <w:pStyle w:val="ListParagraph"/>
        <w:numPr>
          <w:ilvl w:val="0"/>
          <w:numId w:val="2"/>
        </w:numPr>
        <w:ind w:left="360"/>
        <w:rPr>
          <w:rFonts w:ascii="Aptos Display" w:eastAsia="Aptos Display" w:hAnsi="Aptos Display" w:cs="Aptos Display"/>
          <w:sz w:val="24"/>
          <w:szCs w:val="24"/>
        </w:rPr>
      </w:pPr>
      <w:r w:rsidRPr="144BA2E7">
        <w:rPr>
          <w:rFonts w:ascii="Aptos Display" w:eastAsia="Aptos Display" w:hAnsi="Aptos Display" w:cs="Aptos Display"/>
          <w:b/>
          <w:bCs/>
          <w:sz w:val="24"/>
          <w:szCs w:val="24"/>
        </w:rPr>
        <w:t>Review your award requirements.</w:t>
      </w:r>
      <w:r w:rsidRPr="144BA2E7">
        <w:rPr>
          <w:rFonts w:ascii="Aptos Display" w:eastAsia="Aptos Display" w:hAnsi="Aptos Display" w:cs="Aptos Display"/>
          <w:sz w:val="24"/>
          <w:szCs w:val="24"/>
        </w:rPr>
        <w:t xml:space="preserve"> Read the complete Notice of Award and all incorporated terms and conditions each year. Do not assume the requirements are unchanged from the prior year. </w:t>
      </w:r>
    </w:p>
    <w:p w14:paraId="524ED8AA" w14:textId="3106C5F0" w:rsidR="144BA2E7" w:rsidRDefault="144BA2E7" w:rsidP="144BA2E7">
      <w:pPr>
        <w:pStyle w:val="ListParagraph"/>
        <w:numPr>
          <w:ilvl w:val="1"/>
          <w:numId w:val="2"/>
        </w:numPr>
        <w:ind w:left="720"/>
        <w:rPr>
          <w:rFonts w:ascii="Aptos Display" w:eastAsia="Aptos Display" w:hAnsi="Aptos Display" w:cs="Aptos Display"/>
          <w:sz w:val="24"/>
          <w:szCs w:val="24"/>
        </w:rPr>
      </w:pPr>
      <w:r w:rsidRPr="144BA2E7">
        <w:rPr>
          <w:rFonts w:ascii="Aptos Display" w:eastAsia="Aptos Display" w:hAnsi="Aptos Display" w:cs="Aptos Display"/>
          <w:b/>
          <w:bCs/>
          <w:sz w:val="24"/>
          <w:szCs w:val="24"/>
        </w:rPr>
        <w:t>Confirm the funding information.</w:t>
      </w:r>
      <w:r w:rsidRPr="144BA2E7">
        <w:rPr>
          <w:rFonts w:ascii="Aptos Display" w:eastAsia="Aptos Display" w:hAnsi="Aptos Display" w:cs="Aptos Display"/>
          <w:sz w:val="24"/>
          <w:szCs w:val="24"/>
        </w:rPr>
        <w:t xml:space="preserve"> Have fiscal staff verify the current ACL/HHS award amount, funding period, total costs, and any nongovernmental funding. </w:t>
      </w:r>
    </w:p>
    <w:p w14:paraId="0757557F" w14:textId="1C8FAF3D" w:rsidR="144BA2E7" w:rsidRDefault="144BA2E7" w:rsidP="144BA2E7">
      <w:pPr>
        <w:pStyle w:val="ListParagraph"/>
        <w:numPr>
          <w:ilvl w:val="1"/>
          <w:numId w:val="2"/>
        </w:numPr>
        <w:ind w:left="720"/>
        <w:rPr>
          <w:rFonts w:ascii="Aptos Display" w:eastAsia="Aptos Display" w:hAnsi="Aptos Display" w:cs="Aptos Display"/>
          <w:sz w:val="24"/>
          <w:szCs w:val="24"/>
        </w:rPr>
      </w:pPr>
      <w:r w:rsidRPr="144BA2E7">
        <w:rPr>
          <w:rFonts w:ascii="Aptos Display" w:eastAsia="Aptos Display" w:hAnsi="Aptos Display" w:cs="Aptos Display"/>
          <w:b/>
          <w:bCs/>
          <w:sz w:val="24"/>
          <w:szCs w:val="24"/>
        </w:rPr>
        <w:t>Calculate the funding percentages.</w:t>
      </w:r>
      <w:r w:rsidRPr="144BA2E7">
        <w:rPr>
          <w:rFonts w:ascii="Aptos Display" w:eastAsia="Aptos Display" w:hAnsi="Aptos Display" w:cs="Aptos Display"/>
          <w:sz w:val="24"/>
          <w:szCs w:val="24"/>
        </w:rPr>
        <w:t xml:space="preserve"> Calculate the federal and nongovernmental shares using the total costs for the same Center for Independent Living, project, activity, or service and the same funding period. </w:t>
      </w:r>
    </w:p>
    <w:p w14:paraId="795300B0" w14:textId="74336097" w:rsidR="144BA2E7" w:rsidRDefault="144BA2E7" w:rsidP="144BA2E7">
      <w:pPr>
        <w:pStyle w:val="ListParagraph"/>
        <w:numPr>
          <w:ilvl w:val="1"/>
          <w:numId w:val="2"/>
        </w:numPr>
        <w:ind w:left="720"/>
        <w:rPr>
          <w:rFonts w:ascii="Aptos Display" w:eastAsia="Aptos Display" w:hAnsi="Aptos Display" w:cs="Aptos Display"/>
          <w:sz w:val="24"/>
          <w:szCs w:val="24"/>
        </w:rPr>
      </w:pPr>
      <w:r w:rsidRPr="144BA2E7">
        <w:rPr>
          <w:rFonts w:ascii="Aptos Display" w:eastAsia="Aptos Display" w:hAnsi="Aptos Display" w:cs="Aptos Display"/>
          <w:b/>
          <w:bCs/>
          <w:sz w:val="24"/>
          <w:szCs w:val="24"/>
        </w:rPr>
        <w:t>Ask questions when funding is complex.</w:t>
      </w:r>
      <w:r w:rsidRPr="144BA2E7">
        <w:rPr>
          <w:rFonts w:ascii="Aptos Display" w:eastAsia="Aptos Display" w:hAnsi="Aptos Display" w:cs="Aptos Display"/>
          <w:sz w:val="24"/>
          <w:szCs w:val="24"/>
        </w:rPr>
        <w:t xml:space="preserve"> If the CIL receives multiple federal awards or other government funding, contact the ACL Grants Management Specialist for guidance. Do not identify state, local, or other federal funding as nongovernmental funding. </w:t>
      </w:r>
    </w:p>
    <w:p w14:paraId="18CFF87F" w14:textId="291DBE8E" w:rsidR="144BA2E7" w:rsidRDefault="144BA2E7" w:rsidP="144BA2E7">
      <w:pPr>
        <w:pStyle w:val="ListParagraph"/>
        <w:numPr>
          <w:ilvl w:val="0"/>
          <w:numId w:val="2"/>
        </w:numPr>
        <w:ind w:left="360"/>
        <w:rPr>
          <w:rFonts w:ascii="Aptos Display" w:eastAsia="Aptos Display" w:hAnsi="Aptos Display" w:cs="Aptos Display"/>
          <w:sz w:val="24"/>
          <w:szCs w:val="24"/>
        </w:rPr>
      </w:pPr>
      <w:r w:rsidRPr="144BA2E7">
        <w:rPr>
          <w:rFonts w:ascii="Aptos Display" w:eastAsia="Aptos Display" w:hAnsi="Aptos Display" w:cs="Aptos Display"/>
          <w:b/>
          <w:bCs/>
          <w:sz w:val="24"/>
          <w:szCs w:val="24"/>
        </w:rPr>
        <w:t>Complete the acknowledgment statement.</w:t>
      </w:r>
      <w:r w:rsidRPr="144BA2E7">
        <w:rPr>
          <w:rFonts w:ascii="Aptos Display" w:eastAsia="Aptos Display" w:hAnsi="Aptos Display" w:cs="Aptos Display"/>
          <w:sz w:val="24"/>
          <w:szCs w:val="24"/>
        </w:rPr>
        <w:t xml:space="preserve"> Replace every bracketed field with the CIL’s verified information. Remove any options that do not apply. </w:t>
      </w:r>
    </w:p>
    <w:p w14:paraId="32BAFDE9" w14:textId="71B0A9D5" w:rsidR="144BA2E7" w:rsidRDefault="144BA2E7" w:rsidP="144BA2E7">
      <w:pPr>
        <w:pStyle w:val="ListParagraph"/>
        <w:numPr>
          <w:ilvl w:val="0"/>
          <w:numId w:val="2"/>
        </w:numPr>
        <w:ind w:left="360"/>
        <w:rPr>
          <w:rFonts w:ascii="Aptos Display" w:eastAsia="Aptos Display" w:hAnsi="Aptos Display" w:cs="Aptos Display"/>
          <w:sz w:val="24"/>
          <w:szCs w:val="24"/>
        </w:rPr>
      </w:pPr>
      <w:r w:rsidRPr="144BA2E7">
        <w:rPr>
          <w:rFonts w:ascii="Aptos Display" w:eastAsia="Aptos Display" w:hAnsi="Aptos Display" w:cs="Aptos Display"/>
          <w:b/>
          <w:bCs/>
          <w:sz w:val="24"/>
          <w:szCs w:val="24"/>
        </w:rPr>
        <w:t>Place the acknowledgment on the website.</w:t>
      </w:r>
      <w:r w:rsidRPr="144BA2E7">
        <w:rPr>
          <w:rFonts w:ascii="Aptos Display" w:eastAsia="Aptos Display" w:hAnsi="Aptos Display" w:cs="Aptos Display"/>
          <w:sz w:val="24"/>
          <w:szCs w:val="24"/>
        </w:rPr>
        <w:t xml:space="preserve"> Put the full acknowledgment where visitors can easily find it. A consistent website footer </w:t>
      </w:r>
      <w:r w:rsidR="00BB6C46">
        <w:rPr>
          <w:rFonts w:ascii="Aptos Display" w:eastAsia="Aptos Display" w:hAnsi="Aptos Display" w:cs="Aptos Display"/>
          <w:sz w:val="24"/>
          <w:szCs w:val="24"/>
        </w:rPr>
        <w:t>is</w:t>
      </w:r>
      <w:r w:rsidRPr="144BA2E7">
        <w:rPr>
          <w:rFonts w:ascii="Aptos Display" w:eastAsia="Aptos Display" w:hAnsi="Aptos Display" w:cs="Aptos Display"/>
          <w:sz w:val="24"/>
          <w:szCs w:val="24"/>
        </w:rPr>
        <w:t xml:space="preserve"> appropriate when the same funding supports the entire website. If a page describes a separately funded project</w:t>
      </w:r>
      <w:r w:rsidR="00BB6C46">
        <w:rPr>
          <w:rFonts w:ascii="Aptos Display" w:eastAsia="Aptos Display" w:hAnsi="Aptos Display" w:cs="Aptos Display"/>
          <w:sz w:val="24"/>
          <w:szCs w:val="24"/>
        </w:rPr>
        <w:t>/</w:t>
      </w:r>
      <w:r w:rsidRPr="144BA2E7">
        <w:rPr>
          <w:rFonts w:ascii="Aptos Display" w:eastAsia="Aptos Display" w:hAnsi="Aptos Display" w:cs="Aptos Display"/>
          <w:sz w:val="24"/>
          <w:szCs w:val="24"/>
        </w:rPr>
        <w:t xml:space="preserve">activity, include the acknowledgment applicable to </w:t>
      </w:r>
      <w:r w:rsidR="00BB6C46">
        <w:rPr>
          <w:rFonts w:ascii="Aptos Display" w:eastAsia="Aptos Display" w:hAnsi="Aptos Display" w:cs="Aptos Display"/>
          <w:sz w:val="24"/>
          <w:szCs w:val="24"/>
        </w:rPr>
        <w:t>it.</w:t>
      </w:r>
      <w:r w:rsidRPr="144BA2E7">
        <w:rPr>
          <w:rFonts w:ascii="Aptos Display" w:eastAsia="Aptos Display" w:hAnsi="Aptos Display" w:cs="Aptos Display"/>
          <w:sz w:val="24"/>
          <w:szCs w:val="24"/>
        </w:rPr>
        <w:t xml:space="preserve"> </w:t>
      </w:r>
    </w:p>
    <w:p w14:paraId="67F070C5" w14:textId="674FAD27" w:rsidR="144BA2E7" w:rsidRDefault="144BA2E7" w:rsidP="144BA2E7">
      <w:pPr>
        <w:pStyle w:val="ListParagraph"/>
        <w:numPr>
          <w:ilvl w:val="0"/>
          <w:numId w:val="2"/>
        </w:numPr>
        <w:ind w:left="360"/>
        <w:rPr>
          <w:rFonts w:ascii="Aptos Display" w:eastAsia="Aptos Display" w:hAnsi="Aptos Display" w:cs="Aptos Display"/>
          <w:sz w:val="24"/>
          <w:szCs w:val="24"/>
        </w:rPr>
      </w:pPr>
      <w:r w:rsidRPr="144BA2E7">
        <w:rPr>
          <w:rFonts w:ascii="Aptos Display" w:eastAsia="Aptos Display" w:hAnsi="Aptos Display" w:cs="Aptos Display"/>
          <w:b/>
          <w:bCs/>
          <w:sz w:val="24"/>
          <w:szCs w:val="24"/>
        </w:rPr>
        <w:t>Make the statement accessible.</w:t>
      </w:r>
      <w:r w:rsidRPr="144BA2E7">
        <w:rPr>
          <w:rFonts w:ascii="Aptos Display" w:eastAsia="Aptos Display" w:hAnsi="Aptos Display" w:cs="Aptos Display"/>
          <w:sz w:val="24"/>
          <w:szCs w:val="24"/>
        </w:rPr>
        <w:t xml:space="preserve"> Use readable, selectable text with adequate color contrast. Check the statement on mobile devices and with a screen reader. </w:t>
      </w:r>
    </w:p>
    <w:p w14:paraId="1FF144CA" w14:textId="4BFD7712" w:rsidR="144BA2E7" w:rsidRDefault="144BA2E7" w:rsidP="144BA2E7">
      <w:pPr>
        <w:pStyle w:val="ListParagraph"/>
        <w:numPr>
          <w:ilvl w:val="0"/>
          <w:numId w:val="2"/>
        </w:numPr>
        <w:ind w:left="360"/>
        <w:rPr>
          <w:rFonts w:ascii="Aptos Display" w:eastAsia="Aptos Display" w:hAnsi="Aptos Display" w:cs="Aptos Display"/>
          <w:sz w:val="24"/>
          <w:szCs w:val="24"/>
        </w:rPr>
      </w:pPr>
      <w:r w:rsidRPr="144BA2E7">
        <w:rPr>
          <w:rFonts w:ascii="Aptos Display" w:eastAsia="Aptos Display" w:hAnsi="Aptos Display" w:cs="Aptos Display"/>
          <w:b/>
          <w:bCs/>
          <w:sz w:val="24"/>
          <w:szCs w:val="24"/>
        </w:rPr>
        <w:lastRenderedPageBreak/>
        <w:t>Update other covered communications.</w:t>
      </w:r>
      <w:r w:rsidRPr="144BA2E7">
        <w:rPr>
          <w:rFonts w:ascii="Aptos Display" w:eastAsia="Aptos Display" w:hAnsi="Aptos Display" w:cs="Aptos Display"/>
          <w:sz w:val="24"/>
          <w:szCs w:val="24"/>
        </w:rPr>
        <w:t xml:space="preserve"> Add the acknowledgment to applicable publications, presentations, press releases, solicitations, and other public communications. A website statement does not replace the acknowledgment required in those materials. </w:t>
      </w:r>
    </w:p>
    <w:p w14:paraId="7797E4D2" w14:textId="75B13FD8" w:rsidR="144BA2E7" w:rsidRDefault="144BA2E7" w:rsidP="144BA2E7">
      <w:pPr>
        <w:pStyle w:val="ListParagraph"/>
        <w:numPr>
          <w:ilvl w:val="0"/>
          <w:numId w:val="2"/>
        </w:numPr>
        <w:ind w:left="360"/>
        <w:rPr>
          <w:rFonts w:ascii="Aptos Display" w:eastAsia="Aptos Display" w:hAnsi="Aptos Display" w:cs="Aptos Display"/>
          <w:sz w:val="24"/>
          <w:szCs w:val="24"/>
        </w:rPr>
      </w:pPr>
      <w:r w:rsidRPr="144BA2E7">
        <w:rPr>
          <w:rFonts w:ascii="Aptos Display" w:eastAsia="Aptos Display" w:hAnsi="Aptos Display" w:cs="Aptos Display"/>
          <w:b/>
          <w:bCs/>
          <w:sz w:val="24"/>
          <w:szCs w:val="24"/>
        </w:rPr>
        <w:t>Review and document changes.</w:t>
      </w:r>
      <w:r w:rsidRPr="144BA2E7">
        <w:rPr>
          <w:rFonts w:ascii="Aptos Display" w:eastAsia="Aptos Display" w:hAnsi="Aptos Display" w:cs="Aptos Display"/>
          <w:sz w:val="24"/>
          <w:szCs w:val="24"/>
        </w:rPr>
        <w:t xml:space="preserve"> Re</w:t>
      </w:r>
      <w:r w:rsidR="00BB6C46">
        <w:rPr>
          <w:rFonts w:ascii="Aptos Display" w:eastAsia="Aptos Display" w:hAnsi="Aptos Display" w:cs="Aptos Display"/>
          <w:sz w:val="24"/>
          <w:szCs w:val="24"/>
        </w:rPr>
        <w:t>view</w:t>
      </w:r>
      <w:r w:rsidRPr="144BA2E7">
        <w:rPr>
          <w:rFonts w:ascii="Aptos Display" w:eastAsia="Aptos Display" w:hAnsi="Aptos Display" w:cs="Aptos Display"/>
          <w:sz w:val="24"/>
          <w:szCs w:val="24"/>
        </w:rPr>
        <w:t xml:space="preserve"> the statement after each new or amended award</w:t>
      </w:r>
      <w:r w:rsidR="00BB6C46">
        <w:rPr>
          <w:rFonts w:ascii="Aptos Display" w:eastAsia="Aptos Display" w:hAnsi="Aptos Display" w:cs="Aptos Display"/>
          <w:sz w:val="24"/>
          <w:szCs w:val="24"/>
        </w:rPr>
        <w:t xml:space="preserve"> or</w:t>
      </w:r>
      <w:r w:rsidRPr="144BA2E7">
        <w:rPr>
          <w:rFonts w:ascii="Aptos Display" w:eastAsia="Aptos Display" w:hAnsi="Aptos Display" w:cs="Aptos Display"/>
          <w:sz w:val="24"/>
          <w:szCs w:val="24"/>
        </w:rPr>
        <w:t xml:space="preserve"> whenever funding changes. Keep a dated copy of the statement and the calculations used to complete it.</w:t>
      </w:r>
    </w:p>
    <w:p w14:paraId="31D7484E" w14:textId="77777777" w:rsidR="00B06B57" w:rsidRPr="00081A2A" w:rsidRDefault="144BA2E7" w:rsidP="144BA2E7">
      <w:pPr>
        <w:pStyle w:val="Heading1"/>
        <w:rPr>
          <w:rFonts w:ascii="Aptos Display" w:eastAsia="Aptos Display" w:hAnsi="Aptos Display" w:cs="Aptos Display"/>
          <w:sz w:val="36"/>
          <w:szCs w:val="36"/>
        </w:rPr>
      </w:pPr>
      <w:r w:rsidRPr="144BA2E7">
        <w:rPr>
          <w:rFonts w:ascii="Aptos Display" w:eastAsia="Aptos Display" w:hAnsi="Aptos Display" w:cs="Aptos Display"/>
          <w:sz w:val="36"/>
          <w:szCs w:val="36"/>
        </w:rPr>
        <w:t>Questions and official sources</w:t>
      </w:r>
    </w:p>
    <w:p w14:paraId="2AFDAAFC" w14:textId="77777777" w:rsidR="00B06B57" w:rsidRPr="00990043" w:rsidRDefault="144BA2E7" w:rsidP="144BA2E7">
      <w:pPr>
        <w:rPr>
          <w:rFonts w:ascii="Aptos Display" w:eastAsia="Aptos Display" w:hAnsi="Aptos Display" w:cs="Aptos Display"/>
          <w:sz w:val="24"/>
          <w:szCs w:val="24"/>
        </w:rPr>
      </w:pPr>
      <w:r w:rsidRPr="00990043">
        <w:rPr>
          <w:rFonts w:ascii="Aptos Display" w:eastAsia="Aptos Display" w:hAnsi="Aptos Display" w:cs="Aptos Display"/>
          <w:sz w:val="24"/>
          <w:szCs w:val="24"/>
        </w:rPr>
        <w:t>Contact your ACL Grants Management Specialist for award-specific wording or funding questions. Follow the requirements in your NoA. [1]</w:t>
      </w:r>
    </w:p>
    <w:p w14:paraId="6095466F" w14:textId="77777777" w:rsidR="00B06B57" w:rsidRPr="00081A2A" w:rsidRDefault="144BA2E7" w:rsidP="144BA2E7">
      <w:pPr>
        <w:spacing w:after="40" w:line="240" w:lineRule="auto"/>
        <w:rPr>
          <w:rFonts w:ascii="Aptos Display" w:eastAsia="Aptos Display" w:hAnsi="Aptos Display" w:cs="Aptos Display"/>
        </w:rPr>
      </w:pPr>
      <w:r w:rsidRPr="144BA2E7">
        <w:rPr>
          <w:rFonts w:ascii="Aptos Display" w:eastAsia="Aptos Display" w:hAnsi="Aptos Display" w:cs="Aptos Display"/>
        </w:rPr>
        <w:t xml:space="preserve">[1] </w:t>
      </w:r>
      <w:hyperlink r:id="rId11">
        <w:r w:rsidRPr="144BA2E7">
          <w:rPr>
            <w:rFonts w:ascii="Aptos Display" w:eastAsia="Aptos Display" w:hAnsi="Aptos Display" w:cs="Aptos Display"/>
            <w:color w:val="174B74"/>
            <w:u w:val="single"/>
          </w:rPr>
          <w:t>ACL Managing a Grant</w:t>
        </w:r>
      </w:hyperlink>
      <w:r w:rsidRPr="144BA2E7">
        <w:rPr>
          <w:rFonts w:ascii="Aptos Display" w:eastAsia="Aptos Display" w:hAnsi="Aptos Display" w:cs="Aptos Display"/>
        </w:rPr>
        <w:t xml:space="preserve"> — see “Grantee Product Disclaimer—REQUIRED” and “Stevens Amendment.”</w:t>
      </w:r>
    </w:p>
    <w:p w14:paraId="4B9106CA" w14:textId="3011EFEC" w:rsidR="00857486" w:rsidRPr="00081A2A" w:rsidRDefault="144BA2E7" w:rsidP="144BA2E7">
      <w:pPr>
        <w:spacing w:after="0" w:line="240" w:lineRule="auto"/>
        <w:rPr>
          <w:rFonts w:ascii="Aptos Display" w:eastAsia="Aptos Display" w:hAnsi="Aptos Display" w:cs="Aptos Display"/>
        </w:rPr>
      </w:pPr>
      <w:r w:rsidRPr="144BA2E7">
        <w:rPr>
          <w:rFonts w:ascii="Aptos Display" w:eastAsia="Aptos Display" w:hAnsi="Aptos Display" w:cs="Aptos Display"/>
        </w:rPr>
        <w:t xml:space="preserve">[2] </w:t>
      </w:r>
      <w:hyperlink r:id="rId12" w:anchor="page=57">
        <w:r w:rsidRPr="144BA2E7">
          <w:rPr>
            <w:rFonts w:ascii="Aptos Display" w:eastAsia="Aptos Display" w:hAnsi="Aptos Display" w:cs="Aptos Display"/>
            <w:color w:val="174B74"/>
            <w:u w:val="single"/>
          </w:rPr>
          <w:t>HHS Grants Policy Statement</w:t>
        </w:r>
      </w:hyperlink>
      <w:r w:rsidRPr="144BA2E7">
        <w:rPr>
          <w:rFonts w:ascii="Aptos Display" w:eastAsia="Aptos Display" w:hAnsi="Aptos Display" w:cs="Aptos Display"/>
        </w:rPr>
        <w:t>, sections 3.4.12.2–3.4.12.3. September 2026</w:t>
      </w:r>
    </w:p>
    <w:p w14:paraId="1FF99FF1" w14:textId="0C18CCD5" w:rsidR="144BA2E7" w:rsidRDefault="144BA2E7" w:rsidP="144BA2E7">
      <w:pPr>
        <w:spacing w:after="0" w:line="240" w:lineRule="auto"/>
        <w:rPr>
          <w:rFonts w:ascii="Aptos Display" w:eastAsia="Aptos Display" w:hAnsi="Aptos Display" w:cs="Aptos Display"/>
        </w:rPr>
      </w:pPr>
      <w:r w:rsidRPr="144BA2E7">
        <w:rPr>
          <w:rFonts w:ascii="Aptos Display" w:eastAsia="Aptos Display" w:hAnsi="Aptos Display" w:cs="Aptos Display"/>
        </w:rPr>
        <w:t xml:space="preserve">[3] </w:t>
      </w:r>
      <w:hyperlink r:id="rId13">
        <w:r w:rsidRPr="144BA2E7">
          <w:rPr>
            <w:rStyle w:val="Hyperlink"/>
            <w:rFonts w:ascii="Aptos Display" w:eastAsia="Aptos Display" w:hAnsi="Aptos Display" w:cs="Aptos Display"/>
          </w:rPr>
          <w:t>Information and Technical Assistance Center for Councils on Developmental Disabilities</w:t>
        </w:r>
      </w:hyperlink>
      <w:r w:rsidRPr="144BA2E7">
        <w:rPr>
          <w:rFonts w:ascii="Aptos Display" w:eastAsia="Aptos Display" w:hAnsi="Aptos Display" w:cs="Aptos Display"/>
        </w:rPr>
        <w:t xml:space="preserve">. </w:t>
      </w:r>
      <w:r w:rsidRPr="144BA2E7">
        <w:rPr>
          <w:rFonts w:ascii="Aptos Display" w:eastAsia="Aptos Display" w:hAnsi="Aptos Display" w:cs="Aptos Display"/>
          <w:i/>
          <w:iCs/>
        </w:rPr>
        <w:t>The Stevens Amendment and DD Councils</w:t>
      </w:r>
      <w:r w:rsidRPr="144BA2E7">
        <w:rPr>
          <w:rFonts w:ascii="Aptos Display" w:eastAsia="Aptos Display" w:hAnsi="Aptos Display" w:cs="Aptos Display"/>
        </w:rPr>
        <w:t>. November 2023.</w:t>
      </w:r>
    </w:p>
    <w:p w14:paraId="61AD368B" w14:textId="77777777" w:rsidR="00736A1F" w:rsidRPr="00081A2A" w:rsidRDefault="144BA2E7" w:rsidP="144BA2E7">
      <w:pPr>
        <w:pStyle w:val="Heading1"/>
        <w:rPr>
          <w:rFonts w:ascii="Aptos Display" w:eastAsia="Aptos Display" w:hAnsi="Aptos Display" w:cs="Aptos Display"/>
        </w:rPr>
      </w:pPr>
      <w:r w:rsidRPr="144BA2E7">
        <w:rPr>
          <w:rStyle w:val="Heading1Char"/>
          <w:rFonts w:ascii="Aptos Display" w:eastAsia="Aptos Display" w:hAnsi="Aptos Display" w:cs="Aptos Display"/>
          <w:b/>
          <w:bCs/>
          <w:sz w:val="36"/>
          <w:szCs w:val="36"/>
        </w:rPr>
        <w:t>Independent Living Training &amp; Technical Assistance Center</w:t>
      </w:r>
      <w:r w:rsidR="00B43A44">
        <w:br/>
      </w:r>
      <w:r w:rsidRPr="144BA2E7">
        <w:rPr>
          <w:rFonts w:ascii="Aptos Display" w:eastAsia="Aptos Display" w:hAnsi="Aptos Display" w:cs="Aptos Display"/>
          <w:b w:val="0"/>
          <w:bCs w:val="0"/>
        </w:rPr>
        <w:t>Rural Institute for Inclusive Communities at the University of Montana</w:t>
      </w:r>
      <w:r w:rsidR="00B43A44">
        <w:br/>
      </w:r>
      <w:r w:rsidRPr="144BA2E7">
        <w:rPr>
          <w:rFonts w:ascii="Aptos Display" w:eastAsia="Aptos Display" w:hAnsi="Aptos Display" w:cs="Aptos Display"/>
          <w:b w:val="0"/>
          <w:bCs w:val="0"/>
        </w:rPr>
        <w:t>📞 (406) 243-5300</w:t>
      </w:r>
      <w:r w:rsidR="00B43A44">
        <w:br/>
      </w:r>
      <w:r w:rsidRPr="144BA2E7">
        <w:rPr>
          <w:rFonts w:ascii="Aptos Display" w:eastAsia="Aptos Display" w:hAnsi="Aptos Display" w:cs="Aptos Display"/>
          <w:b w:val="0"/>
          <w:bCs w:val="0"/>
        </w:rPr>
        <w:t xml:space="preserve">✉️ </w:t>
      </w:r>
      <w:hyperlink r:id="rId14">
        <w:r w:rsidRPr="144BA2E7">
          <w:rPr>
            <w:rStyle w:val="Hyperlink"/>
            <w:rFonts w:ascii="Aptos Display" w:eastAsia="Aptos Display" w:hAnsi="Aptos Display" w:cs="Aptos Display"/>
            <w:b w:val="0"/>
            <w:bCs w:val="0"/>
          </w:rPr>
          <w:t>ilttacenter@mso.umt.edu</w:t>
        </w:r>
      </w:hyperlink>
      <w:r w:rsidRPr="144BA2E7">
        <w:rPr>
          <w:rFonts w:ascii="Aptos Display" w:eastAsia="Aptos Display" w:hAnsi="Aptos Display" w:cs="Aptos Display"/>
          <w:b w:val="0"/>
          <w:bCs w:val="0"/>
        </w:rPr>
        <w:t xml:space="preserve"> </w:t>
      </w:r>
      <w:r w:rsidR="00B43A44">
        <w:br/>
      </w:r>
      <w:r w:rsidRPr="144BA2E7">
        <w:rPr>
          <w:rFonts w:ascii="Aptos Display" w:eastAsia="Aptos Display" w:hAnsi="Aptos Display" w:cs="Aptos Display"/>
          <w:b w:val="0"/>
          <w:bCs w:val="0"/>
        </w:rPr>
        <w:t xml:space="preserve">🌐 </w:t>
      </w:r>
      <w:hyperlink r:id="rId15">
        <w:r w:rsidRPr="144BA2E7">
          <w:rPr>
            <w:rStyle w:val="Hyperlink"/>
            <w:rFonts w:ascii="Aptos Display" w:eastAsia="Aptos Display" w:hAnsi="Aptos Display" w:cs="Aptos Display"/>
            <w:b w:val="0"/>
            <w:bCs w:val="0"/>
          </w:rPr>
          <w:t>www.ILTTACenter.org</w:t>
        </w:r>
      </w:hyperlink>
    </w:p>
    <w:p w14:paraId="345B47E0" w14:textId="42DBDCB7" w:rsidR="000F2AFC" w:rsidRPr="00081A2A" w:rsidRDefault="144BA2E7" w:rsidP="144BA2E7">
      <w:pPr>
        <w:rPr>
          <w:rFonts w:ascii="Aptos Display" w:eastAsia="Aptos Display" w:hAnsi="Aptos Display" w:cs="Aptos Display"/>
          <w:i/>
          <w:iCs/>
        </w:rPr>
      </w:pPr>
      <w:r w:rsidRPr="144BA2E7">
        <w:rPr>
          <w:rFonts w:ascii="Aptos Display" w:eastAsia="Aptos Display" w:hAnsi="Aptos Display" w:cs="Aptos Display"/>
          <w:i/>
          <w:iCs/>
        </w:rPr>
        <w:t>The Independent Living Training &amp; Technical Assistance Center is on assignment with the U.S. Department of Health and Human Services, Administration for Community Living.</w:t>
      </w:r>
    </w:p>
    <w:p w14:paraId="6A11BB58" w14:textId="77777777" w:rsidR="00BB6C46" w:rsidRPr="00081A2A" w:rsidRDefault="00BB6C46">
      <w:pPr>
        <w:rPr>
          <w:rFonts w:ascii="Aptos Display" w:eastAsia="Aptos Display" w:hAnsi="Aptos Display" w:cs="Aptos Display"/>
          <w:i/>
          <w:iCs/>
        </w:rPr>
      </w:pPr>
    </w:p>
    <w:sectPr w:rsidR="00BB6C46" w:rsidRPr="00081A2A" w:rsidSect="000F2AFC">
      <w:headerReference w:type="even" r:id="rId16"/>
      <w:headerReference w:type="default" r:id="rId17"/>
      <w:footerReference w:type="even" r:id="rId18"/>
      <w:footerReference w:type="default" r:id="rId19"/>
      <w:headerReference w:type="first" r:id="rId20"/>
      <w:footerReference w:type="first" r:id="rId21"/>
      <w:pgSz w:w="12240" w:h="15840"/>
      <w:pgMar w:top="792" w:right="936" w:bottom="792" w:left="93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C5633" w14:textId="77777777" w:rsidR="00316536" w:rsidRDefault="00316536" w:rsidP="005B4E63">
      <w:pPr>
        <w:spacing w:after="0" w:line="240" w:lineRule="auto"/>
      </w:pPr>
      <w:r>
        <w:separator/>
      </w:r>
    </w:p>
  </w:endnote>
  <w:endnote w:type="continuationSeparator" w:id="0">
    <w:p w14:paraId="5C33E928" w14:textId="77777777" w:rsidR="00316536" w:rsidRDefault="00316536" w:rsidP="005B4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CB806" w14:textId="77777777" w:rsidR="00210B45" w:rsidRDefault="00210B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B09AB" w14:textId="7DF34CBB" w:rsidR="00F06489" w:rsidRPr="00622008" w:rsidRDefault="00622008" w:rsidP="00622008">
    <w:pPr>
      <w:pStyle w:val="Footer"/>
      <w:jc w:val="right"/>
    </w:pPr>
    <w:r>
      <w:t>ILT&amp;TA Center</w:t>
    </w:r>
    <w:r>
      <w:tab/>
    </w:r>
    <w:r>
      <w:tab/>
    </w:r>
    <w:r>
      <w:tab/>
    </w:r>
    <w:r w:rsidRPr="00622008">
      <w:rPr>
        <w:i/>
        <w:iCs/>
      </w:rPr>
      <w:t>ACL funding acknowledgements and the Stevens Amendment</w:t>
    </w:r>
    <w:r>
      <w:tab/>
    </w:r>
    <w:r>
      <w:tab/>
      <w:t xml:space="preserve">Page </w:t>
    </w:r>
    <w:sdt>
      <w:sdtPr>
        <w:id w:val="169982221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9BEF8" w14:textId="17785220" w:rsidR="000F2AFC" w:rsidRPr="00622008" w:rsidRDefault="00622008" w:rsidP="00622008">
    <w:pPr>
      <w:pStyle w:val="Footer"/>
    </w:pPr>
    <w:r>
      <w:t>ILT&amp;TA Center</w:t>
    </w:r>
    <w:r>
      <w:tab/>
    </w:r>
    <w:r>
      <w:tab/>
    </w:r>
    <w:r>
      <w:tab/>
    </w:r>
    <w:r w:rsidRPr="00622008">
      <w:rPr>
        <w:i/>
        <w:iCs/>
      </w:rPr>
      <w:t>ACL funding acknowledgements and the Stevens Amendment</w:t>
    </w:r>
    <w:r>
      <w:tab/>
    </w:r>
    <w:r>
      <w:tab/>
      <w:t xml:space="preserve">Page </w:t>
    </w:r>
    <w:sdt>
      <w:sdtPr>
        <w:id w:val="-196725699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4EFCA" w14:textId="77777777" w:rsidR="00316536" w:rsidRDefault="00316536" w:rsidP="005B4E63">
      <w:pPr>
        <w:spacing w:after="0" w:line="240" w:lineRule="auto"/>
      </w:pPr>
      <w:r>
        <w:separator/>
      </w:r>
    </w:p>
  </w:footnote>
  <w:footnote w:type="continuationSeparator" w:id="0">
    <w:p w14:paraId="72F734AD" w14:textId="77777777" w:rsidR="00316536" w:rsidRDefault="00316536" w:rsidP="005B4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5CF77" w14:textId="77777777" w:rsidR="00210B45" w:rsidRDefault="00210B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55"/>
      <w:gridCol w:w="3455"/>
      <w:gridCol w:w="3455"/>
    </w:tblGrid>
    <w:tr w:rsidR="144BA2E7" w14:paraId="6270A0B0" w14:textId="77777777" w:rsidTr="144BA2E7">
      <w:trPr>
        <w:trHeight w:val="300"/>
      </w:trPr>
      <w:tc>
        <w:tcPr>
          <w:tcW w:w="3455" w:type="dxa"/>
        </w:tcPr>
        <w:p w14:paraId="46E4FB3A" w14:textId="7C75303D" w:rsidR="144BA2E7" w:rsidRDefault="144BA2E7" w:rsidP="144BA2E7">
          <w:pPr>
            <w:pStyle w:val="Header"/>
            <w:ind w:left="-115"/>
          </w:pPr>
        </w:p>
      </w:tc>
      <w:tc>
        <w:tcPr>
          <w:tcW w:w="3455" w:type="dxa"/>
        </w:tcPr>
        <w:p w14:paraId="451FE185" w14:textId="2294EE2D" w:rsidR="144BA2E7" w:rsidRDefault="144BA2E7" w:rsidP="144BA2E7">
          <w:pPr>
            <w:pStyle w:val="Header"/>
            <w:jc w:val="center"/>
          </w:pPr>
        </w:p>
      </w:tc>
      <w:tc>
        <w:tcPr>
          <w:tcW w:w="3455" w:type="dxa"/>
        </w:tcPr>
        <w:p w14:paraId="0D990518" w14:textId="78BF3B53" w:rsidR="144BA2E7" w:rsidRDefault="144BA2E7" w:rsidP="144BA2E7">
          <w:pPr>
            <w:pStyle w:val="Header"/>
            <w:ind w:right="-115"/>
            <w:jc w:val="right"/>
          </w:pPr>
        </w:p>
      </w:tc>
    </w:tr>
  </w:tbl>
  <w:p w14:paraId="70C0963C" w14:textId="0F2C818E" w:rsidR="144BA2E7" w:rsidRDefault="144BA2E7" w:rsidP="144BA2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82A59" w14:textId="68CF20A4" w:rsidR="144BA2E7" w:rsidRPr="00622CA3" w:rsidRDefault="00805591" w:rsidP="00622CA3">
    <w:pPr>
      <w:pStyle w:val="Header"/>
    </w:pPr>
    <w:r>
      <w:rPr>
        <w:noProof/>
      </w:rPr>
      <w:drawing>
        <wp:inline distT="0" distB="0" distL="0" distR="0" wp14:anchorId="6D24282A" wp14:editId="2BCA36F6">
          <wp:extent cx="2103120" cy="935006"/>
          <wp:effectExtent l="0" t="0" r="0" b="0"/>
          <wp:docPr id="1221545005" name="Picture 1" descr="Independent Living Training and Technical Assistance Center (ILT&amp;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545005" name="Picture 1" descr="Independent Living Training and Technical Assistance Center (ILT&amp;TA) logo"/>
                  <pic:cNvPicPr/>
                </pic:nvPicPr>
                <pic:blipFill>
                  <a:blip r:embed="rId1"/>
                  <a:stretch>
                    <a:fillRect/>
                  </a:stretch>
                </pic:blipFill>
                <pic:spPr>
                  <a:xfrm>
                    <a:off x="0" y="0"/>
                    <a:ext cx="2115434" cy="9404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F55EC986"/>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1E4E000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6CE4AB"/>
    <w:multiLevelType w:val="hybridMultilevel"/>
    <w:tmpl w:val="E4A2D55E"/>
    <w:lvl w:ilvl="0" w:tplc="256CFDDA">
      <w:start w:val="1"/>
      <w:numFmt w:val="bullet"/>
      <w:lvlText w:val=""/>
      <w:lvlJc w:val="left"/>
      <w:pPr>
        <w:ind w:left="360" w:hanging="360"/>
      </w:pPr>
      <w:rPr>
        <w:rFonts w:ascii="Symbol" w:hAnsi="Symbol" w:hint="default"/>
      </w:rPr>
    </w:lvl>
    <w:lvl w:ilvl="1" w:tplc="3A9A8C28">
      <w:start w:val="1"/>
      <w:numFmt w:val="bullet"/>
      <w:lvlText w:val="o"/>
      <w:lvlJc w:val="left"/>
      <w:pPr>
        <w:ind w:left="1080" w:hanging="360"/>
      </w:pPr>
      <w:rPr>
        <w:rFonts w:ascii="Courier New" w:hAnsi="Courier New" w:hint="default"/>
      </w:rPr>
    </w:lvl>
    <w:lvl w:ilvl="2" w:tplc="64E07E54">
      <w:start w:val="1"/>
      <w:numFmt w:val="bullet"/>
      <w:lvlText w:val=""/>
      <w:lvlJc w:val="left"/>
      <w:pPr>
        <w:ind w:left="1800" w:hanging="360"/>
      </w:pPr>
      <w:rPr>
        <w:rFonts w:ascii="Wingdings" w:hAnsi="Wingdings" w:hint="default"/>
      </w:rPr>
    </w:lvl>
    <w:lvl w:ilvl="3" w:tplc="D4542638">
      <w:start w:val="1"/>
      <w:numFmt w:val="bullet"/>
      <w:lvlText w:val=""/>
      <w:lvlJc w:val="left"/>
      <w:pPr>
        <w:ind w:left="2520" w:hanging="360"/>
      </w:pPr>
      <w:rPr>
        <w:rFonts w:ascii="Symbol" w:hAnsi="Symbol" w:hint="default"/>
      </w:rPr>
    </w:lvl>
    <w:lvl w:ilvl="4" w:tplc="B284F226">
      <w:start w:val="1"/>
      <w:numFmt w:val="bullet"/>
      <w:lvlText w:val="o"/>
      <w:lvlJc w:val="left"/>
      <w:pPr>
        <w:ind w:left="3240" w:hanging="360"/>
      </w:pPr>
      <w:rPr>
        <w:rFonts w:ascii="Courier New" w:hAnsi="Courier New" w:hint="default"/>
      </w:rPr>
    </w:lvl>
    <w:lvl w:ilvl="5" w:tplc="2ADA5E8C">
      <w:start w:val="1"/>
      <w:numFmt w:val="bullet"/>
      <w:lvlText w:val=""/>
      <w:lvlJc w:val="left"/>
      <w:pPr>
        <w:ind w:left="3960" w:hanging="360"/>
      </w:pPr>
      <w:rPr>
        <w:rFonts w:ascii="Wingdings" w:hAnsi="Wingdings" w:hint="default"/>
      </w:rPr>
    </w:lvl>
    <w:lvl w:ilvl="6" w:tplc="9FC00DA2">
      <w:start w:val="1"/>
      <w:numFmt w:val="bullet"/>
      <w:lvlText w:val=""/>
      <w:lvlJc w:val="left"/>
      <w:pPr>
        <w:ind w:left="4680" w:hanging="360"/>
      </w:pPr>
      <w:rPr>
        <w:rFonts w:ascii="Symbol" w:hAnsi="Symbol" w:hint="default"/>
      </w:rPr>
    </w:lvl>
    <w:lvl w:ilvl="7" w:tplc="52200882">
      <w:start w:val="1"/>
      <w:numFmt w:val="bullet"/>
      <w:lvlText w:val="o"/>
      <w:lvlJc w:val="left"/>
      <w:pPr>
        <w:ind w:left="5400" w:hanging="360"/>
      </w:pPr>
      <w:rPr>
        <w:rFonts w:ascii="Courier New" w:hAnsi="Courier New" w:hint="default"/>
      </w:rPr>
    </w:lvl>
    <w:lvl w:ilvl="8" w:tplc="CD98F83A">
      <w:start w:val="1"/>
      <w:numFmt w:val="bullet"/>
      <w:lvlText w:val=""/>
      <w:lvlJc w:val="left"/>
      <w:pPr>
        <w:ind w:left="6120" w:hanging="360"/>
      </w:pPr>
      <w:rPr>
        <w:rFonts w:ascii="Wingdings" w:hAnsi="Wingdings" w:hint="default"/>
      </w:rPr>
    </w:lvl>
  </w:abstractNum>
  <w:abstractNum w:abstractNumId="10" w15:restartNumberingAfterBreak="0">
    <w:nsid w:val="15196DFC"/>
    <w:multiLevelType w:val="hybridMultilevel"/>
    <w:tmpl w:val="422CE918"/>
    <w:lvl w:ilvl="0" w:tplc="D78CA544">
      <w:start w:val="1"/>
      <w:numFmt w:val="bullet"/>
      <w:lvlText w:val=""/>
      <w:lvlJc w:val="left"/>
      <w:pPr>
        <w:ind w:left="360" w:hanging="360"/>
      </w:pPr>
      <w:rPr>
        <w:rFonts w:ascii="Symbol" w:hAnsi="Symbol" w:hint="default"/>
      </w:rPr>
    </w:lvl>
    <w:lvl w:ilvl="1" w:tplc="CCB6DBC8">
      <w:start w:val="1"/>
      <w:numFmt w:val="bullet"/>
      <w:lvlText w:val="o"/>
      <w:lvlJc w:val="left"/>
      <w:pPr>
        <w:ind w:left="1080" w:hanging="360"/>
      </w:pPr>
      <w:rPr>
        <w:rFonts w:ascii="Courier New" w:hAnsi="Courier New" w:hint="default"/>
      </w:rPr>
    </w:lvl>
    <w:lvl w:ilvl="2" w:tplc="3498008C">
      <w:start w:val="1"/>
      <w:numFmt w:val="bullet"/>
      <w:lvlText w:val=""/>
      <w:lvlJc w:val="left"/>
      <w:pPr>
        <w:ind w:left="1800" w:hanging="360"/>
      </w:pPr>
      <w:rPr>
        <w:rFonts w:ascii="Wingdings" w:hAnsi="Wingdings" w:hint="default"/>
      </w:rPr>
    </w:lvl>
    <w:lvl w:ilvl="3" w:tplc="6E040D5E">
      <w:start w:val="1"/>
      <w:numFmt w:val="bullet"/>
      <w:lvlText w:val=""/>
      <w:lvlJc w:val="left"/>
      <w:pPr>
        <w:ind w:left="2520" w:hanging="360"/>
      </w:pPr>
      <w:rPr>
        <w:rFonts w:ascii="Symbol" w:hAnsi="Symbol" w:hint="default"/>
      </w:rPr>
    </w:lvl>
    <w:lvl w:ilvl="4" w:tplc="293A0688">
      <w:start w:val="1"/>
      <w:numFmt w:val="bullet"/>
      <w:lvlText w:val="o"/>
      <w:lvlJc w:val="left"/>
      <w:pPr>
        <w:ind w:left="3240" w:hanging="360"/>
      </w:pPr>
      <w:rPr>
        <w:rFonts w:ascii="Courier New" w:hAnsi="Courier New" w:hint="default"/>
      </w:rPr>
    </w:lvl>
    <w:lvl w:ilvl="5" w:tplc="0FA8106C">
      <w:start w:val="1"/>
      <w:numFmt w:val="bullet"/>
      <w:lvlText w:val=""/>
      <w:lvlJc w:val="left"/>
      <w:pPr>
        <w:ind w:left="3960" w:hanging="360"/>
      </w:pPr>
      <w:rPr>
        <w:rFonts w:ascii="Wingdings" w:hAnsi="Wingdings" w:hint="default"/>
      </w:rPr>
    </w:lvl>
    <w:lvl w:ilvl="6" w:tplc="5C14E8B6">
      <w:start w:val="1"/>
      <w:numFmt w:val="bullet"/>
      <w:lvlText w:val=""/>
      <w:lvlJc w:val="left"/>
      <w:pPr>
        <w:ind w:left="4680" w:hanging="360"/>
      </w:pPr>
      <w:rPr>
        <w:rFonts w:ascii="Symbol" w:hAnsi="Symbol" w:hint="default"/>
      </w:rPr>
    </w:lvl>
    <w:lvl w:ilvl="7" w:tplc="328451E8">
      <w:start w:val="1"/>
      <w:numFmt w:val="bullet"/>
      <w:lvlText w:val="o"/>
      <w:lvlJc w:val="left"/>
      <w:pPr>
        <w:ind w:left="5400" w:hanging="360"/>
      </w:pPr>
      <w:rPr>
        <w:rFonts w:ascii="Courier New" w:hAnsi="Courier New" w:hint="default"/>
      </w:rPr>
    </w:lvl>
    <w:lvl w:ilvl="8" w:tplc="AFD61A36">
      <w:start w:val="1"/>
      <w:numFmt w:val="bullet"/>
      <w:lvlText w:val=""/>
      <w:lvlJc w:val="left"/>
      <w:pPr>
        <w:ind w:left="6120" w:hanging="360"/>
      </w:pPr>
      <w:rPr>
        <w:rFonts w:ascii="Wingdings" w:hAnsi="Wingdings" w:hint="default"/>
      </w:rPr>
    </w:lvl>
  </w:abstractNum>
  <w:abstractNum w:abstractNumId="11" w15:restartNumberingAfterBreak="0">
    <w:nsid w:val="30D37524"/>
    <w:multiLevelType w:val="hybridMultilevel"/>
    <w:tmpl w:val="06486920"/>
    <w:lvl w:ilvl="0" w:tplc="4A0C19AC">
      <w:start w:val="1"/>
      <w:numFmt w:val="decimal"/>
      <w:lvlText w:val="%1."/>
      <w:lvlJc w:val="left"/>
      <w:pPr>
        <w:ind w:left="720" w:hanging="360"/>
      </w:pPr>
    </w:lvl>
    <w:lvl w:ilvl="1" w:tplc="1D8CCA6C">
      <w:start w:val="1"/>
      <w:numFmt w:val="lowerLetter"/>
      <w:lvlText w:val="%2."/>
      <w:lvlJc w:val="left"/>
      <w:pPr>
        <w:ind w:left="1440" w:hanging="360"/>
      </w:pPr>
    </w:lvl>
    <w:lvl w:ilvl="2" w:tplc="39EC8174">
      <w:start w:val="1"/>
      <w:numFmt w:val="lowerRoman"/>
      <w:lvlText w:val="%3."/>
      <w:lvlJc w:val="right"/>
      <w:pPr>
        <w:ind w:left="2160" w:hanging="180"/>
      </w:pPr>
    </w:lvl>
    <w:lvl w:ilvl="3" w:tplc="A852EBAC">
      <w:start w:val="1"/>
      <w:numFmt w:val="decimal"/>
      <w:lvlText w:val="%4."/>
      <w:lvlJc w:val="left"/>
      <w:pPr>
        <w:ind w:left="2880" w:hanging="360"/>
      </w:pPr>
    </w:lvl>
    <w:lvl w:ilvl="4" w:tplc="ACF6EEFA">
      <w:start w:val="1"/>
      <w:numFmt w:val="lowerLetter"/>
      <w:lvlText w:val="%5."/>
      <w:lvlJc w:val="left"/>
      <w:pPr>
        <w:ind w:left="3600" w:hanging="360"/>
      </w:pPr>
    </w:lvl>
    <w:lvl w:ilvl="5" w:tplc="95CAFB4E">
      <w:start w:val="1"/>
      <w:numFmt w:val="lowerRoman"/>
      <w:lvlText w:val="%6."/>
      <w:lvlJc w:val="right"/>
      <w:pPr>
        <w:ind w:left="4320" w:hanging="180"/>
      </w:pPr>
    </w:lvl>
    <w:lvl w:ilvl="6" w:tplc="78E0A9F2">
      <w:start w:val="1"/>
      <w:numFmt w:val="decimal"/>
      <w:lvlText w:val="%7."/>
      <w:lvlJc w:val="left"/>
      <w:pPr>
        <w:ind w:left="5040" w:hanging="360"/>
      </w:pPr>
    </w:lvl>
    <w:lvl w:ilvl="7" w:tplc="33000C98">
      <w:start w:val="1"/>
      <w:numFmt w:val="lowerLetter"/>
      <w:lvlText w:val="%8."/>
      <w:lvlJc w:val="left"/>
      <w:pPr>
        <w:ind w:left="5760" w:hanging="360"/>
      </w:pPr>
    </w:lvl>
    <w:lvl w:ilvl="8" w:tplc="7FAC6C20">
      <w:start w:val="1"/>
      <w:numFmt w:val="lowerRoman"/>
      <w:lvlText w:val="%9."/>
      <w:lvlJc w:val="right"/>
      <w:pPr>
        <w:ind w:left="6480" w:hanging="180"/>
      </w:pPr>
    </w:lvl>
  </w:abstractNum>
  <w:abstractNum w:abstractNumId="12" w15:restartNumberingAfterBreak="0">
    <w:nsid w:val="4EE5536F"/>
    <w:multiLevelType w:val="hybridMultilevel"/>
    <w:tmpl w:val="5DC2782C"/>
    <w:lvl w:ilvl="0" w:tplc="C682DC90">
      <w:start w:val="1"/>
      <w:numFmt w:val="bullet"/>
      <w:lvlText w:val=""/>
      <w:lvlJc w:val="left"/>
      <w:pPr>
        <w:ind w:left="720" w:hanging="360"/>
      </w:pPr>
      <w:rPr>
        <w:rFonts w:ascii="Symbol" w:hAnsi="Symbol" w:hint="default"/>
      </w:rPr>
    </w:lvl>
    <w:lvl w:ilvl="1" w:tplc="16647B6A">
      <w:start w:val="1"/>
      <w:numFmt w:val="bullet"/>
      <w:lvlText w:val="o"/>
      <w:lvlJc w:val="left"/>
      <w:pPr>
        <w:ind w:left="1440" w:hanging="360"/>
      </w:pPr>
      <w:rPr>
        <w:rFonts w:ascii="Courier New" w:hAnsi="Courier New" w:hint="default"/>
      </w:rPr>
    </w:lvl>
    <w:lvl w:ilvl="2" w:tplc="19FE6762">
      <w:start w:val="1"/>
      <w:numFmt w:val="bullet"/>
      <w:lvlText w:val=""/>
      <w:lvlJc w:val="left"/>
      <w:pPr>
        <w:ind w:left="2160" w:hanging="360"/>
      </w:pPr>
      <w:rPr>
        <w:rFonts w:ascii="Wingdings" w:hAnsi="Wingdings" w:hint="default"/>
      </w:rPr>
    </w:lvl>
    <w:lvl w:ilvl="3" w:tplc="91AE6CF0">
      <w:start w:val="1"/>
      <w:numFmt w:val="bullet"/>
      <w:lvlText w:val=""/>
      <w:lvlJc w:val="left"/>
      <w:pPr>
        <w:ind w:left="2880" w:hanging="360"/>
      </w:pPr>
      <w:rPr>
        <w:rFonts w:ascii="Symbol" w:hAnsi="Symbol" w:hint="default"/>
      </w:rPr>
    </w:lvl>
    <w:lvl w:ilvl="4" w:tplc="A03C962C">
      <w:start w:val="1"/>
      <w:numFmt w:val="bullet"/>
      <w:lvlText w:val="o"/>
      <w:lvlJc w:val="left"/>
      <w:pPr>
        <w:ind w:left="3600" w:hanging="360"/>
      </w:pPr>
      <w:rPr>
        <w:rFonts w:ascii="Courier New" w:hAnsi="Courier New" w:hint="default"/>
      </w:rPr>
    </w:lvl>
    <w:lvl w:ilvl="5" w:tplc="8B223332">
      <w:start w:val="1"/>
      <w:numFmt w:val="bullet"/>
      <w:lvlText w:val=""/>
      <w:lvlJc w:val="left"/>
      <w:pPr>
        <w:ind w:left="4320" w:hanging="360"/>
      </w:pPr>
      <w:rPr>
        <w:rFonts w:ascii="Wingdings" w:hAnsi="Wingdings" w:hint="default"/>
      </w:rPr>
    </w:lvl>
    <w:lvl w:ilvl="6" w:tplc="819A6B98">
      <w:start w:val="1"/>
      <w:numFmt w:val="bullet"/>
      <w:lvlText w:val=""/>
      <w:lvlJc w:val="left"/>
      <w:pPr>
        <w:ind w:left="5040" w:hanging="360"/>
      </w:pPr>
      <w:rPr>
        <w:rFonts w:ascii="Symbol" w:hAnsi="Symbol" w:hint="default"/>
      </w:rPr>
    </w:lvl>
    <w:lvl w:ilvl="7" w:tplc="2DA22E3C">
      <w:start w:val="1"/>
      <w:numFmt w:val="bullet"/>
      <w:lvlText w:val="o"/>
      <w:lvlJc w:val="left"/>
      <w:pPr>
        <w:ind w:left="5760" w:hanging="360"/>
      </w:pPr>
      <w:rPr>
        <w:rFonts w:ascii="Courier New" w:hAnsi="Courier New" w:hint="default"/>
      </w:rPr>
    </w:lvl>
    <w:lvl w:ilvl="8" w:tplc="0430F094">
      <w:start w:val="1"/>
      <w:numFmt w:val="bullet"/>
      <w:lvlText w:val=""/>
      <w:lvlJc w:val="left"/>
      <w:pPr>
        <w:ind w:left="6480" w:hanging="360"/>
      </w:pPr>
      <w:rPr>
        <w:rFonts w:ascii="Wingdings" w:hAnsi="Wingdings" w:hint="default"/>
      </w:rPr>
    </w:lvl>
  </w:abstractNum>
  <w:abstractNum w:abstractNumId="13" w15:restartNumberingAfterBreak="0">
    <w:nsid w:val="54709D74"/>
    <w:multiLevelType w:val="hybridMultilevel"/>
    <w:tmpl w:val="BF129F26"/>
    <w:lvl w:ilvl="0" w:tplc="1584DC78">
      <w:start w:val="1"/>
      <w:numFmt w:val="decimal"/>
      <w:lvlText w:val="%1."/>
      <w:lvlJc w:val="left"/>
      <w:pPr>
        <w:ind w:left="720" w:hanging="360"/>
      </w:pPr>
    </w:lvl>
    <w:lvl w:ilvl="1" w:tplc="9E20C1D4">
      <w:start w:val="1"/>
      <w:numFmt w:val="lowerLetter"/>
      <w:lvlText w:val="%2."/>
      <w:lvlJc w:val="left"/>
      <w:pPr>
        <w:ind w:left="1440" w:hanging="360"/>
      </w:pPr>
    </w:lvl>
    <w:lvl w:ilvl="2" w:tplc="6A8CF482">
      <w:start w:val="1"/>
      <w:numFmt w:val="lowerRoman"/>
      <w:lvlText w:val="%3."/>
      <w:lvlJc w:val="right"/>
      <w:pPr>
        <w:ind w:left="2160" w:hanging="180"/>
      </w:pPr>
    </w:lvl>
    <w:lvl w:ilvl="3" w:tplc="DE6432DC">
      <w:start w:val="1"/>
      <w:numFmt w:val="decimal"/>
      <w:lvlText w:val="%4."/>
      <w:lvlJc w:val="left"/>
      <w:pPr>
        <w:ind w:left="2880" w:hanging="360"/>
      </w:pPr>
    </w:lvl>
    <w:lvl w:ilvl="4" w:tplc="ABC640F6">
      <w:start w:val="1"/>
      <w:numFmt w:val="lowerLetter"/>
      <w:lvlText w:val="%5."/>
      <w:lvlJc w:val="left"/>
      <w:pPr>
        <w:ind w:left="3600" w:hanging="360"/>
      </w:pPr>
    </w:lvl>
    <w:lvl w:ilvl="5" w:tplc="7A347CF0">
      <w:start w:val="1"/>
      <w:numFmt w:val="lowerRoman"/>
      <w:lvlText w:val="%6."/>
      <w:lvlJc w:val="right"/>
      <w:pPr>
        <w:ind w:left="4320" w:hanging="180"/>
      </w:pPr>
    </w:lvl>
    <w:lvl w:ilvl="6" w:tplc="80FA53C4">
      <w:start w:val="1"/>
      <w:numFmt w:val="decimal"/>
      <w:lvlText w:val="%7."/>
      <w:lvlJc w:val="left"/>
      <w:pPr>
        <w:ind w:left="5040" w:hanging="360"/>
      </w:pPr>
    </w:lvl>
    <w:lvl w:ilvl="7" w:tplc="E31E8948">
      <w:start w:val="1"/>
      <w:numFmt w:val="lowerLetter"/>
      <w:lvlText w:val="%8."/>
      <w:lvlJc w:val="left"/>
      <w:pPr>
        <w:ind w:left="5760" w:hanging="360"/>
      </w:pPr>
    </w:lvl>
    <w:lvl w:ilvl="8" w:tplc="137CCC88">
      <w:start w:val="1"/>
      <w:numFmt w:val="lowerRoman"/>
      <w:lvlText w:val="%9."/>
      <w:lvlJc w:val="right"/>
      <w:pPr>
        <w:ind w:left="6480" w:hanging="180"/>
      </w:pPr>
    </w:lvl>
  </w:abstractNum>
  <w:abstractNum w:abstractNumId="14" w15:restartNumberingAfterBreak="0">
    <w:nsid w:val="57B460B8"/>
    <w:multiLevelType w:val="hybridMultilevel"/>
    <w:tmpl w:val="90824BAE"/>
    <w:lvl w:ilvl="0" w:tplc="D0D2993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9CD3F5"/>
    <w:multiLevelType w:val="hybridMultilevel"/>
    <w:tmpl w:val="B0FADAE8"/>
    <w:lvl w:ilvl="0" w:tplc="89B2F1EE">
      <w:start w:val="1"/>
      <w:numFmt w:val="bullet"/>
      <w:lvlText w:val=""/>
      <w:lvlJc w:val="left"/>
      <w:pPr>
        <w:ind w:left="360" w:hanging="360"/>
      </w:pPr>
      <w:rPr>
        <w:rFonts w:ascii="Symbol" w:hAnsi="Symbol" w:hint="default"/>
      </w:rPr>
    </w:lvl>
    <w:lvl w:ilvl="1" w:tplc="F642F7BE">
      <w:start w:val="1"/>
      <w:numFmt w:val="bullet"/>
      <w:lvlText w:val="o"/>
      <w:lvlJc w:val="left"/>
      <w:pPr>
        <w:ind w:left="1080" w:hanging="360"/>
      </w:pPr>
      <w:rPr>
        <w:rFonts w:ascii="Courier New" w:hAnsi="Courier New" w:hint="default"/>
      </w:rPr>
    </w:lvl>
    <w:lvl w:ilvl="2" w:tplc="E6E47A50">
      <w:start w:val="1"/>
      <w:numFmt w:val="bullet"/>
      <w:lvlText w:val=""/>
      <w:lvlJc w:val="left"/>
      <w:pPr>
        <w:ind w:left="1800" w:hanging="360"/>
      </w:pPr>
      <w:rPr>
        <w:rFonts w:ascii="Wingdings" w:hAnsi="Wingdings" w:hint="default"/>
      </w:rPr>
    </w:lvl>
    <w:lvl w:ilvl="3" w:tplc="EB605E1C">
      <w:start w:val="1"/>
      <w:numFmt w:val="bullet"/>
      <w:lvlText w:val=""/>
      <w:lvlJc w:val="left"/>
      <w:pPr>
        <w:ind w:left="2520" w:hanging="360"/>
      </w:pPr>
      <w:rPr>
        <w:rFonts w:ascii="Symbol" w:hAnsi="Symbol" w:hint="default"/>
      </w:rPr>
    </w:lvl>
    <w:lvl w:ilvl="4" w:tplc="E4147292">
      <w:start w:val="1"/>
      <w:numFmt w:val="bullet"/>
      <w:lvlText w:val="o"/>
      <w:lvlJc w:val="left"/>
      <w:pPr>
        <w:ind w:left="3240" w:hanging="360"/>
      </w:pPr>
      <w:rPr>
        <w:rFonts w:ascii="Courier New" w:hAnsi="Courier New" w:hint="default"/>
      </w:rPr>
    </w:lvl>
    <w:lvl w:ilvl="5" w:tplc="D890B6EE">
      <w:start w:val="1"/>
      <w:numFmt w:val="bullet"/>
      <w:lvlText w:val=""/>
      <w:lvlJc w:val="left"/>
      <w:pPr>
        <w:ind w:left="3960" w:hanging="360"/>
      </w:pPr>
      <w:rPr>
        <w:rFonts w:ascii="Wingdings" w:hAnsi="Wingdings" w:hint="default"/>
      </w:rPr>
    </w:lvl>
    <w:lvl w:ilvl="6" w:tplc="5344CE26">
      <w:start w:val="1"/>
      <w:numFmt w:val="bullet"/>
      <w:lvlText w:val=""/>
      <w:lvlJc w:val="left"/>
      <w:pPr>
        <w:ind w:left="4680" w:hanging="360"/>
      </w:pPr>
      <w:rPr>
        <w:rFonts w:ascii="Symbol" w:hAnsi="Symbol" w:hint="default"/>
      </w:rPr>
    </w:lvl>
    <w:lvl w:ilvl="7" w:tplc="2B281F06">
      <w:start w:val="1"/>
      <w:numFmt w:val="bullet"/>
      <w:lvlText w:val="o"/>
      <w:lvlJc w:val="left"/>
      <w:pPr>
        <w:ind w:left="5400" w:hanging="360"/>
      </w:pPr>
      <w:rPr>
        <w:rFonts w:ascii="Courier New" w:hAnsi="Courier New" w:hint="default"/>
      </w:rPr>
    </w:lvl>
    <w:lvl w:ilvl="8" w:tplc="A05C7934">
      <w:start w:val="1"/>
      <w:numFmt w:val="bullet"/>
      <w:lvlText w:val=""/>
      <w:lvlJc w:val="left"/>
      <w:pPr>
        <w:ind w:left="6120" w:hanging="360"/>
      </w:pPr>
      <w:rPr>
        <w:rFonts w:ascii="Wingdings" w:hAnsi="Wingdings" w:hint="default"/>
      </w:rPr>
    </w:lvl>
  </w:abstractNum>
  <w:abstractNum w:abstractNumId="16" w15:restartNumberingAfterBreak="0">
    <w:nsid w:val="6FF41D5B"/>
    <w:multiLevelType w:val="hybridMultilevel"/>
    <w:tmpl w:val="8B303456"/>
    <w:lvl w:ilvl="0" w:tplc="35BCF0B6">
      <w:start w:val="1"/>
      <w:numFmt w:val="decimal"/>
      <w:lvlText w:val="%1."/>
      <w:lvlJc w:val="left"/>
      <w:pPr>
        <w:ind w:left="720" w:hanging="360"/>
      </w:pPr>
    </w:lvl>
    <w:lvl w:ilvl="1" w:tplc="3D2AE600">
      <w:start w:val="1"/>
      <w:numFmt w:val="lowerLetter"/>
      <w:lvlText w:val="%2."/>
      <w:lvlJc w:val="left"/>
      <w:pPr>
        <w:ind w:left="1440" w:hanging="360"/>
      </w:pPr>
    </w:lvl>
    <w:lvl w:ilvl="2" w:tplc="545A6654">
      <w:start w:val="1"/>
      <w:numFmt w:val="lowerRoman"/>
      <w:lvlText w:val="%3."/>
      <w:lvlJc w:val="right"/>
      <w:pPr>
        <w:ind w:left="2160" w:hanging="180"/>
      </w:pPr>
    </w:lvl>
    <w:lvl w:ilvl="3" w:tplc="1F04685E">
      <w:start w:val="1"/>
      <w:numFmt w:val="decimal"/>
      <w:lvlText w:val="%4."/>
      <w:lvlJc w:val="left"/>
      <w:pPr>
        <w:ind w:left="2880" w:hanging="360"/>
      </w:pPr>
    </w:lvl>
    <w:lvl w:ilvl="4" w:tplc="71B81D1C">
      <w:start w:val="1"/>
      <w:numFmt w:val="lowerLetter"/>
      <w:lvlText w:val="%5."/>
      <w:lvlJc w:val="left"/>
      <w:pPr>
        <w:ind w:left="3600" w:hanging="360"/>
      </w:pPr>
    </w:lvl>
    <w:lvl w:ilvl="5" w:tplc="1DB06D78">
      <w:start w:val="1"/>
      <w:numFmt w:val="lowerRoman"/>
      <w:lvlText w:val="%6."/>
      <w:lvlJc w:val="right"/>
      <w:pPr>
        <w:ind w:left="4320" w:hanging="180"/>
      </w:pPr>
    </w:lvl>
    <w:lvl w:ilvl="6" w:tplc="FFA28BBC">
      <w:start w:val="1"/>
      <w:numFmt w:val="decimal"/>
      <w:lvlText w:val="%7."/>
      <w:lvlJc w:val="left"/>
      <w:pPr>
        <w:ind w:left="5040" w:hanging="360"/>
      </w:pPr>
    </w:lvl>
    <w:lvl w:ilvl="7" w:tplc="188E5F30">
      <w:start w:val="1"/>
      <w:numFmt w:val="lowerLetter"/>
      <w:lvlText w:val="%8."/>
      <w:lvlJc w:val="left"/>
      <w:pPr>
        <w:ind w:left="5760" w:hanging="360"/>
      </w:pPr>
    </w:lvl>
    <w:lvl w:ilvl="8" w:tplc="1C96E62C">
      <w:start w:val="1"/>
      <w:numFmt w:val="lowerRoman"/>
      <w:lvlText w:val="%9."/>
      <w:lvlJc w:val="right"/>
      <w:pPr>
        <w:ind w:left="6480" w:hanging="180"/>
      </w:pPr>
    </w:lvl>
  </w:abstractNum>
  <w:num w:numId="1" w16cid:durableId="1557886074">
    <w:abstractNumId w:val="16"/>
  </w:num>
  <w:num w:numId="2" w16cid:durableId="1361123312">
    <w:abstractNumId w:val="11"/>
  </w:num>
  <w:num w:numId="3" w16cid:durableId="2027171117">
    <w:abstractNumId w:val="9"/>
  </w:num>
  <w:num w:numId="4" w16cid:durableId="434448392">
    <w:abstractNumId w:val="13"/>
  </w:num>
  <w:num w:numId="5" w16cid:durableId="1496843827">
    <w:abstractNumId w:val="12"/>
  </w:num>
  <w:num w:numId="6" w16cid:durableId="1276986060">
    <w:abstractNumId w:val="15"/>
  </w:num>
  <w:num w:numId="7" w16cid:durableId="929628444">
    <w:abstractNumId w:val="10"/>
  </w:num>
  <w:num w:numId="8" w16cid:durableId="1008366615">
    <w:abstractNumId w:val="7"/>
  </w:num>
  <w:num w:numId="9" w16cid:durableId="1219048106">
    <w:abstractNumId w:val="0"/>
  </w:num>
  <w:num w:numId="10" w16cid:durableId="1343320077">
    <w:abstractNumId w:val="2"/>
  </w:num>
  <w:num w:numId="11" w16cid:durableId="161815799">
    <w:abstractNumId w:val="3"/>
  </w:num>
  <w:num w:numId="12" w16cid:durableId="1713505221">
    <w:abstractNumId w:val="4"/>
  </w:num>
  <w:num w:numId="13" w16cid:durableId="175076796">
    <w:abstractNumId w:val="8"/>
  </w:num>
  <w:num w:numId="14" w16cid:durableId="1925870046">
    <w:abstractNumId w:val="6"/>
  </w:num>
  <w:num w:numId="15" w16cid:durableId="1949653720">
    <w:abstractNumId w:val="5"/>
  </w:num>
  <w:num w:numId="16" w16cid:durableId="1979534868">
    <w:abstractNumId w:val="1"/>
  </w:num>
  <w:num w:numId="17" w16cid:durableId="56322101">
    <w:abstractNumId w:val="7"/>
  </w:num>
  <w:num w:numId="18" w16cid:durableId="124099089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1AA"/>
    <w:rsid w:val="000121E0"/>
    <w:rsid w:val="00034493"/>
    <w:rsid w:val="00034616"/>
    <w:rsid w:val="00037881"/>
    <w:rsid w:val="0006063C"/>
    <w:rsid w:val="00080A0A"/>
    <w:rsid w:val="00081A2A"/>
    <w:rsid w:val="00096AA4"/>
    <w:rsid w:val="000A45A1"/>
    <w:rsid w:val="000A7E98"/>
    <w:rsid w:val="000B0307"/>
    <w:rsid w:val="000B5269"/>
    <w:rsid w:val="000C4A1B"/>
    <w:rsid w:val="000C5FAB"/>
    <w:rsid w:val="000C77B6"/>
    <w:rsid w:val="000F2AFC"/>
    <w:rsid w:val="00111196"/>
    <w:rsid w:val="00115667"/>
    <w:rsid w:val="00116031"/>
    <w:rsid w:val="001265E7"/>
    <w:rsid w:val="0015074B"/>
    <w:rsid w:val="00166093"/>
    <w:rsid w:val="001A1611"/>
    <w:rsid w:val="001A4F2A"/>
    <w:rsid w:val="001C6CCF"/>
    <w:rsid w:val="001D65FB"/>
    <w:rsid w:val="001E06E3"/>
    <w:rsid w:val="001F09FA"/>
    <w:rsid w:val="001F30D0"/>
    <w:rsid w:val="001F3C18"/>
    <w:rsid w:val="00207D4F"/>
    <w:rsid w:val="00210B45"/>
    <w:rsid w:val="00235252"/>
    <w:rsid w:val="00241FA0"/>
    <w:rsid w:val="00247BD7"/>
    <w:rsid w:val="00250A42"/>
    <w:rsid w:val="0025203D"/>
    <w:rsid w:val="00256216"/>
    <w:rsid w:val="0026094D"/>
    <w:rsid w:val="002637BB"/>
    <w:rsid w:val="00281AD6"/>
    <w:rsid w:val="00293090"/>
    <w:rsid w:val="0029639D"/>
    <w:rsid w:val="002A3417"/>
    <w:rsid w:val="002B6BCD"/>
    <w:rsid w:val="002C322C"/>
    <w:rsid w:val="002C4F62"/>
    <w:rsid w:val="002D41C7"/>
    <w:rsid w:val="002E54F8"/>
    <w:rsid w:val="00301100"/>
    <w:rsid w:val="00316536"/>
    <w:rsid w:val="0032299F"/>
    <w:rsid w:val="003232C1"/>
    <w:rsid w:val="00326F90"/>
    <w:rsid w:val="003316B9"/>
    <w:rsid w:val="00335A95"/>
    <w:rsid w:val="00340076"/>
    <w:rsid w:val="003466CA"/>
    <w:rsid w:val="003559D6"/>
    <w:rsid w:val="0035CB1D"/>
    <w:rsid w:val="00365ACC"/>
    <w:rsid w:val="0038416C"/>
    <w:rsid w:val="00386D96"/>
    <w:rsid w:val="003A042C"/>
    <w:rsid w:val="003C4615"/>
    <w:rsid w:val="003D05CC"/>
    <w:rsid w:val="003D6E80"/>
    <w:rsid w:val="003E5751"/>
    <w:rsid w:val="00401ACD"/>
    <w:rsid w:val="004058B8"/>
    <w:rsid w:val="00413386"/>
    <w:rsid w:val="00414032"/>
    <w:rsid w:val="0042282A"/>
    <w:rsid w:val="0042678A"/>
    <w:rsid w:val="00432232"/>
    <w:rsid w:val="004346AA"/>
    <w:rsid w:val="004516BB"/>
    <w:rsid w:val="00454306"/>
    <w:rsid w:val="0048003D"/>
    <w:rsid w:val="004818BB"/>
    <w:rsid w:val="0048698C"/>
    <w:rsid w:val="00490DC5"/>
    <w:rsid w:val="004A6C49"/>
    <w:rsid w:val="004B33C9"/>
    <w:rsid w:val="004B6E7E"/>
    <w:rsid w:val="004F3CF2"/>
    <w:rsid w:val="00507E8F"/>
    <w:rsid w:val="0051318F"/>
    <w:rsid w:val="00523870"/>
    <w:rsid w:val="00542A3E"/>
    <w:rsid w:val="00553C8E"/>
    <w:rsid w:val="0055597F"/>
    <w:rsid w:val="00564B3D"/>
    <w:rsid w:val="00566C18"/>
    <w:rsid w:val="00583335"/>
    <w:rsid w:val="00590849"/>
    <w:rsid w:val="005B4E63"/>
    <w:rsid w:val="005D4C53"/>
    <w:rsid w:val="005E4A64"/>
    <w:rsid w:val="005F3299"/>
    <w:rsid w:val="005F5217"/>
    <w:rsid w:val="00622008"/>
    <w:rsid w:val="00622CA3"/>
    <w:rsid w:val="00622FE7"/>
    <w:rsid w:val="006260A3"/>
    <w:rsid w:val="00643A4A"/>
    <w:rsid w:val="00653859"/>
    <w:rsid w:val="00695026"/>
    <w:rsid w:val="006A3B82"/>
    <w:rsid w:val="006A5FF5"/>
    <w:rsid w:val="006A7491"/>
    <w:rsid w:val="006B398A"/>
    <w:rsid w:val="006D2EF3"/>
    <w:rsid w:val="006E1E2D"/>
    <w:rsid w:val="00707F66"/>
    <w:rsid w:val="00736A1F"/>
    <w:rsid w:val="0077179C"/>
    <w:rsid w:val="007823A8"/>
    <w:rsid w:val="007B3993"/>
    <w:rsid w:val="007B3B0C"/>
    <w:rsid w:val="007B6C5D"/>
    <w:rsid w:val="007C18DC"/>
    <w:rsid w:val="007E5649"/>
    <w:rsid w:val="007F3B85"/>
    <w:rsid w:val="008015FE"/>
    <w:rsid w:val="00805591"/>
    <w:rsid w:val="00840CF2"/>
    <w:rsid w:val="00857486"/>
    <w:rsid w:val="00860340"/>
    <w:rsid w:val="00860720"/>
    <w:rsid w:val="00881809"/>
    <w:rsid w:val="008F3950"/>
    <w:rsid w:val="00906660"/>
    <w:rsid w:val="0091780B"/>
    <w:rsid w:val="0093550E"/>
    <w:rsid w:val="00956357"/>
    <w:rsid w:val="009624EA"/>
    <w:rsid w:val="00964C28"/>
    <w:rsid w:val="00990043"/>
    <w:rsid w:val="009948A5"/>
    <w:rsid w:val="009B105B"/>
    <w:rsid w:val="009C4011"/>
    <w:rsid w:val="009F0316"/>
    <w:rsid w:val="009F5367"/>
    <w:rsid w:val="00A0783E"/>
    <w:rsid w:val="00A13338"/>
    <w:rsid w:val="00A63051"/>
    <w:rsid w:val="00A63A66"/>
    <w:rsid w:val="00A64C97"/>
    <w:rsid w:val="00A77310"/>
    <w:rsid w:val="00A77E70"/>
    <w:rsid w:val="00A92D25"/>
    <w:rsid w:val="00A96633"/>
    <w:rsid w:val="00AA1D8D"/>
    <w:rsid w:val="00AC1DE2"/>
    <w:rsid w:val="00AC516D"/>
    <w:rsid w:val="00AD0C97"/>
    <w:rsid w:val="00B06B57"/>
    <w:rsid w:val="00B10796"/>
    <w:rsid w:val="00B30DE1"/>
    <w:rsid w:val="00B33584"/>
    <w:rsid w:val="00B35F07"/>
    <w:rsid w:val="00B43A44"/>
    <w:rsid w:val="00B47730"/>
    <w:rsid w:val="00B47E78"/>
    <w:rsid w:val="00B62229"/>
    <w:rsid w:val="00B742BE"/>
    <w:rsid w:val="00B75A93"/>
    <w:rsid w:val="00B97C27"/>
    <w:rsid w:val="00BA7B55"/>
    <w:rsid w:val="00BB6C46"/>
    <w:rsid w:val="00BC1482"/>
    <w:rsid w:val="00BE0C4B"/>
    <w:rsid w:val="00BE6A92"/>
    <w:rsid w:val="00BE7682"/>
    <w:rsid w:val="00BF11DB"/>
    <w:rsid w:val="00C203A4"/>
    <w:rsid w:val="00C929EB"/>
    <w:rsid w:val="00C9403E"/>
    <w:rsid w:val="00C9662C"/>
    <w:rsid w:val="00C971F9"/>
    <w:rsid w:val="00CA68C9"/>
    <w:rsid w:val="00CB0664"/>
    <w:rsid w:val="00CC0F00"/>
    <w:rsid w:val="00CD491B"/>
    <w:rsid w:val="00CD7C17"/>
    <w:rsid w:val="00CE7610"/>
    <w:rsid w:val="00D1521F"/>
    <w:rsid w:val="00D424E6"/>
    <w:rsid w:val="00D43716"/>
    <w:rsid w:val="00D46CE8"/>
    <w:rsid w:val="00D53B38"/>
    <w:rsid w:val="00D924EE"/>
    <w:rsid w:val="00DC5A7F"/>
    <w:rsid w:val="00DC696C"/>
    <w:rsid w:val="00DE3E57"/>
    <w:rsid w:val="00E01CA5"/>
    <w:rsid w:val="00E03AA4"/>
    <w:rsid w:val="00E3518B"/>
    <w:rsid w:val="00E37E88"/>
    <w:rsid w:val="00E52D25"/>
    <w:rsid w:val="00E55DB2"/>
    <w:rsid w:val="00E65A61"/>
    <w:rsid w:val="00E7164B"/>
    <w:rsid w:val="00E71FEB"/>
    <w:rsid w:val="00E92826"/>
    <w:rsid w:val="00E93A25"/>
    <w:rsid w:val="00EB6714"/>
    <w:rsid w:val="00EC4A8B"/>
    <w:rsid w:val="00EF053C"/>
    <w:rsid w:val="00F06489"/>
    <w:rsid w:val="00F10A85"/>
    <w:rsid w:val="00F26177"/>
    <w:rsid w:val="00F446D4"/>
    <w:rsid w:val="00F64093"/>
    <w:rsid w:val="00F82193"/>
    <w:rsid w:val="00F84E7C"/>
    <w:rsid w:val="00F8601D"/>
    <w:rsid w:val="00FA4986"/>
    <w:rsid w:val="00FC1C4F"/>
    <w:rsid w:val="00FC4574"/>
    <w:rsid w:val="00FC457C"/>
    <w:rsid w:val="00FC693F"/>
    <w:rsid w:val="00FE19FD"/>
    <w:rsid w:val="00FF63F1"/>
    <w:rsid w:val="049EA7BA"/>
    <w:rsid w:val="065783A3"/>
    <w:rsid w:val="0A08FAF9"/>
    <w:rsid w:val="0F33E34C"/>
    <w:rsid w:val="106E73C6"/>
    <w:rsid w:val="1377697B"/>
    <w:rsid w:val="144BA2E7"/>
    <w:rsid w:val="1602B90F"/>
    <w:rsid w:val="18B16316"/>
    <w:rsid w:val="1B7E467C"/>
    <w:rsid w:val="1F0FA764"/>
    <w:rsid w:val="1FE61F63"/>
    <w:rsid w:val="20C87A8F"/>
    <w:rsid w:val="2764362D"/>
    <w:rsid w:val="28C2AE32"/>
    <w:rsid w:val="2A345DBE"/>
    <w:rsid w:val="30B1FB26"/>
    <w:rsid w:val="31B4F70C"/>
    <w:rsid w:val="321B029B"/>
    <w:rsid w:val="3435CD29"/>
    <w:rsid w:val="353D37C8"/>
    <w:rsid w:val="38350360"/>
    <w:rsid w:val="38CA8577"/>
    <w:rsid w:val="398ADB6C"/>
    <w:rsid w:val="3A6615D7"/>
    <w:rsid w:val="3B38EAA0"/>
    <w:rsid w:val="3E84CB4B"/>
    <w:rsid w:val="401565CC"/>
    <w:rsid w:val="4285D65D"/>
    <w:rsid w:val="4650930A"/>
    <w:rsid w:val="482BB210"/>
    <w:rsid w:val="53F37F5F"/>
    <w:rsid w:val="56383DCD"/>
    <w:rsid w:val="57752DCB"/>
    <w:rsid w:val="5C58C14B"/>
    <w:rsid w:val="60DD34D6"/>
    <w:rsid w:val="62822687"/>
    <w:rsid w:val="64F3CE6C"/>
    <w:rsid w:val="663122CF"/>
    <w:rsid w:val="68321AD7"/>
    <w:rsid w:val="69AE765A"/>
    <w:rsid w:val="69DB2CEE"/>
    <w:rsid w:val="6BDE76CC"/>
    <w:rsid w:val="6DEA2150"/>
    <w:rsid w:val="713ED0EE"/>
    <w:rsid w:val="7172847E"/>
    <w:rsid w:val="71B52D83"/>
    <w:rsid w:val="7834209F"/>
    <w:rsid w:val="7AEC95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C9E22"/>
  <w14:defaultImageDpi w14:val="300"/>
  <w15:docId w15:val="{CE57831C-A779-4C4F-898D-F39BCAF49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5" w:lineRule="auto"/>
    </w:pPr>
    <w:rPr>
      <w:rFonts w:ascii="Calibri" w:hAnsi="Calibri"/>
      <w:color w:val="000000"/>
    </w:rPr>
  </w:style>
  <w:style w:type="paragraph" w:styleId="Heading1">
    <w:name w:val="heading 1"/>
    <w:basedOn w:val="Normal"/>
    <w:next w:val="Normal"/>
    <w:link w:val="Heading1Char"/>
    <w:uiPriority w:val="9"/>
    <w:qFormat/>
    <w:rsid w:val="144BA2E7"/>
    <w:pPr>
      <w:keepNext/>
      <w:keepLines/>
      <w:spacing w:before="140" w:after="60"/>
      <w:outlineLvl w:val="0"/>
    </w:pPr>
    <w:rPr>
      <w:rFonts w:asciiTheme="majorHAnsi" w:eastAsiaTheme="majorEastAsia" w:hAnsiTheme="majorHAnsi" w:cstheme="majorBidi"/>
      <w:b/>
      <w:bCs/>
      <w:sz w:val="24"/>
      <w:szCs w:val="24"/>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144BA2E7"/>
    <w:pPr>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144BA2E7"/>
    <w:pPr>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144BA2E7"/>
    <w:rPr>
      <w:rFonts w:asciiTheme="majorHAnsi" w:eastAsiaTheme="majorEastAsia" w:hAnsiTheme="majorHAnsi" w:cstheme="majorBidi"/>
      <w:b/>
      <w:bCs/>
      <w:noProof w:val="0"/>
      <w:color w:val="000000" w:themeColor="text1"/>
      <w:sz w:val="24"/>
      <w:szCs w:val="24"/>
      <w:lang w:val="en-US"/>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3"/>
      </w:numPr>
      <w:ind w:left="216" w:hanging="216"/>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5"/>
      </w:numPr>
      <w:contextualSpacing/>
    </w:pPr>
  </w:style>
  <w:style w:type="paragraph" w:styleId="ListNumber">
    <w:name w:val="List Number"/>
    <w:basedOn w:val="Normal"/>
    <w:uiPriority w:val="99"/>
    <w:unhideWhenUsed/>
    <w:rsid w:val="00326F90"/>
    <w:pPr>
      <w:numPr>
        <w:numId w:val="8"/>
      </w:numPr>
      <w:ind w:left="216" w:hanging="216"/>
      <w:contextualSpacing/>
    </w:pPr>
  </w:style>
  <w:style w:type="paragraph" w:styleId="ListNumber2">
    <w:name w:val="List Number 2"/>
    <w:basedOn w:val="Normal"/>
    <w:uiPriority w:val="99"/>
    <w:unhideWhenUsed/>
    <w:rsid w:val="0029639D"/>
    <w:pPr>
      <w:numPr>
        <w:numId w:val="11"/>
      </w:numPr>
      <w:contextualSpacing/>
    </w:pPr>
  </w:style>
  <w:style w:type="paragraph" w:styleId="ListNumber3">
    <w:name w:val="List Number 3"/>
    <w:basedOn w:val="Normal"/>
    <w:uiPriority w:val="99"/>
    <w:unhideWhenUsed/>
    <w:rsid w:val="0029639D"/>
    <w:pPr>
      <w:numPr>
        <w:numId w:val="10"/>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144BA2E7"/>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57486"/>
    <w:rPr>
      <w:color w:val="0000FF" w:themeColor="hyperlink"/>
      <w:u w:val="single"/>
    </w:rPr>
  </w:style>
  <w:style w:type="character" w:styleId="UnresolvedMention">
    <w:name w:val="Unresolved Mention"/>
    <w:basedOn w:val="DefaultParagraphFont"/>
    <w:uiPriority w:val="99"/>
    <w:semiHidden/>
    <w:unhideWhenUsed/>
    <w:rsid w:val="00857486"/>
    <w:rPr>
      <w:color w:val="605E5C"/>
      <w:shd w:val="clear" w:color="auto" w:fill="E1DFDD"/>
    </w:rPr>
  </w:style>
  <w:style w:type="character" w:styleId="CommentReference">
    <w:name w:val="annotation reference"/>
    <w:basedOn w:val="DefaultParagraphFont"/>
    <w:uiPriority w:val="99"/>
    <w:semiHidden/>
    <w:unhideWhenUsed/>
    <w:rsid w:val="00D53B38"/>
    <w:rPr>
      <w:sz w:val="16"/>
      <w:szCs w:val="16"/>
    </w:rPr>
  </w:style>
  <w:style w:type="paragraph" w:styleId="CommentText">
    <w:name w:val="annotation text"/>
    <w:basedOn w:val="Normal"/>
    <w:link w:val="CommentTextChar"/>
    <w:uiPriority w:val="99"/>
    <w:unhideWhenUsed/>
    <w:rsid w:val="00D53B38"/>
    <w:pPr>
      <w:spacing w:line="240" w:lineRule="auto"/>
    </w:pPr>
    <w:rPr>
      <w:sz w:val="20"/>
      <w:szCs w:val="20"/>
    </w:rPr>
  </w:style>
  <w:style w:type="character" w:customStyle="1" w:styleId="CommentTextChar">
    <w:name w:val="Comment Text Char"/>
    <w:basedOn w:val="DefaultParagraphFont"/>
    <w:link w:val="CommentText"/>
    <w:uiPriority w:val="99"/>
    <w:rsid w:val="00D53B38"/>
    <w:rPr>
      <w:rFonts w:ascii="Calibri" w:hAnsi="Calibri"/>
      <w:color w:val="000000"/>
      <w:sz w:val="20"/>
      <w:szCs w:val="20"/>
    </w:rPr>
  </w:style>
  <w:style w:type="paragraph" w:styleId="CommentSubject">
    <w:name w:val="annotation subject"/>
    <w:basedOn w:val="CommentText"/>
    <w:next w:val="CommentText"/>
    <w:link w:val="CommentSubjectChar"/>
    <w:uiPriority w:val="99"/>
    <w:semiHidden/>
    <w:unhideWhenUsed/>
    <w:rsid w:val="00D53B38"/>
    <w:rPr>
      <w:b/>
      <w:bCs/>
    </w:rPr>
  </w:style>
  <w:style w:type="character" w:customStyle="1" w:styleId="CommentSubjectChar">
    <w:name w:val="Comment Subject Char"/>
    <w:basedOn w:val="CommentTextChar"/>
    <w:link w:val="CommentSubject"/>
    <w:uiPriority w:val="99"/>
    <w:semiHidden/>
    <w:rsid w:val="00D53B38"/>
    <w:rPr>
      <w:rFonts w:ascii="Calibri" w:hAnsi="Calibri"/>
      <w:b/>
      <w:bCs/>
      <w:color w:val="000000"/>
      <w:sz w:val="20"/>
      <w:szCs w:val="20"/>
    </w:rPr>
  </w:style>
  <w:style w:type="paragraph" w:styleId="Revision">
    <w:name w:val="Revision"/>
    <w:hidden/>
    <w:uiPriority w:val="99"/>
    <w:semiHidden/>
    <w:rsid w:val="00D53B38"/>
    <w:pPr>
      <w:spacing w:after="0" w:line="240" w:lineRule="auto"/>
    </w:pPr>
    <w:rPr>
      <w:rFonts w:ascii="Calibri" w:hAnsi="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acchelp.org/wp-content/uploads/2023/11/FY-2024-TA-Brief-Stevens-Amendment-FINAL-approved.pdf?utm_source=chatgpt.com" TargetMode="External"/><Relationship Id="rId13" Type="http://schemas.openxmlformats.org/officeDocument/2006/relationships/hyperlink" Target="https://itacchelp.org/wp-content/uploads/2023/11/FY-2024-TA-Brief-Stevens-Amendment-FINAL-approved.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hhs.gov/sites/default/files/hhs-grants-policy-statement-oct-2025.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l.gov/grants/managing-grant" TargetMode="External"/><Relationship Id="rId5" Type="http://schemas.openxmlformats.org/officeDocument/2006/relationships/webSettings" Target="webSettings.xml"/><Relationship Id="rId15" Type="http://schemas.openxmlformats.org/officeDocument/2006/relationships/hyperlink" Target="https://www.ILTTACenter.org" TargetMode="External"/><Relationship Id="rId23" Type="http://schemas.openxmlformats.org/officeDocument/2006/relationships/theme" Target="theme/theme1.xml"/><Relationship Id="rId10" Type="http://schemas.openxmlformats.org/officeDocument/2006/relationships/hyperlink" Target="https://itacchelp.org/wp-content/uploads/2023/11/FY-2024-TA-Brief-Stevens-Amendment-FINAL-approved.pdf"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acl.gov/grants/managing-grant" TargetMode="External"/><Relationship Id="rId14" Type="http://schemas.openxmlformats.org/officeDocument/2006/relationships/hyperlink" Target="mailto:ilttacenter@mso.umt.edu"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1452</Words>
  <Characters>8729</Characters>
  <Application>Microsoft Office Word</Application>
  <DocSecurity>0</DocSecurity>
  <Lines>136</Lines>
  <Paragraphs>60</Paragraphs>
  <ScaleCrop>false</ScaleCrop>
  <Manager/>
  <Company/>
  <LinksUpToDate>false</LinksUpToDate>
  <CharactersWithSpaces>10121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Updating grantee websites</dc:title>
  <dc:subject>ACL funding acknowledgments and the Stevens Amendment</dc:subject>
  <dc:creator>IL T&amp;TA Center</dc:creator>
  <cp:keywords/>
  <dc:description>generated by python-docx</dc:description>
  <cp:lastModifiedBy>Morris, Tyler</cp:lastModifiedBy>
  <cp:revision>2</cp:revision>
  <dcterms:created xsi:type="dcterms:W3CDTF">2026-10-07T15:19:00Z</dcterms:created>
  <dcterms:modified xsi:type="dcterms:W3CDTF">2026-10-07T15:19:00Z</dcterms:modified>
  <cp:category/>
</cp:coreProperties>
</file>