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380C5" w14:textId="5730D359" w:rsidR="00DF7C34" w:rsidRDefault="00DF7C34" w:rsidP="00DF7C34">
      <w:pPr>
        <w:pStyle w:val="Subtitle"/>
        <w:rPr>
          <w:rFonts w:ascii="Aptos" w:eastAsia="Aptos" w:hAnsi="Aptos" w:cs="Aptos"/>
          <w:b/>
          <w:color w:val="C0504D" w:themeColor="accent2"/>
          <w:sz w:val="52"/>
          <w:szCs w:val="52"/>
          <w:lang w:bidi="es-ES"/>
        </w:rPr>
      </w:pPr>
      <w:r w:rsidRPr="0051687E">
        <w:rPr>
          <w:rFonts w:ascii="Aptos" w:eastAsia="Aptos" w:hAnsi="Aptos" w:cs="Aptos"/>
          <w:b/>
          <w:color w:val="C0504D" w:themeColor="accent2"/>
          <w:sz w:val="52"/>
          <w:szCs w:val="52"/>
          <w:lang w:bidi="es-ES"/>
        </w:rPr>
        <w:t>Reconocimientos de financiación de ACL y la Enmienda Stevens</w:t>
      </w:r>
    </w:p>
    <w:p w14:paraId="5EBFC54B" w14:textId="5D4CFC0F" w:rsidR="00E6678C" w:rsidRPr="00E6678C" w:rsidRDefault="00E6678C" w:rsidP="00E6678C">
      <w:pPr>
        <w:rPr>
          <w:lang w:bidi="es-ES"/>
        </w:rPr>
      </w:pPr>
      <w:r>
        <w:rPr>
          <w:lang w:bidi="es-ES"/>
        </w:rPr>
        <w:t>Octubre de 2026</w:t>
      </w:r>
    </w:p>
    <w:p w14:paraId="47D3CB21" w14:textId="6F9B19A3" w:rsidR="00111196" w:rsidRPr="0051687E" w:rsidRDefault="00111196" w:rsidP="00111196">
      <w:pPr>
        <w:pStyle w:val="Heading1"/>
        <w:rPr>
          <w:rFonts w:ascii="Aptos Display" w:eastAsia="Aptos Display" w:hAnsi="Aptos Display" w:cs="Aptos Display"/>
          <w:sz w:val="36"/>
          <w:szCs w:val="36"/>
        </w:rPr>
      </w:pPr>
      <w:r w:rsidRPr="0051687E">
        <w:rPr>
          <w:rFonts w:ascii="Aptos Display" w:eastAsia="Aptos Display" w:hAnsi="Aptos Display" w:cs="Aptos Display"/>
          <w:sz w:val="36"/>
          <w:szCs w:val="36"/>
          <w:lang w:bidi="es-ES"/>
        </w:rPr>
        <w:t>Acerca de este recurso</w:t>
      </w:r>
    </w:p>
    <w:p w14:paraId="1B7F61A2" w14:textId="75838FAF" w:rsidR="00111196" w:rsidRPr="0051687E" w:rsidRDefault="00BB6C46" w:rsidP="144BA2E7">
      <w:pPr>
        <w:pStyle w:val="Heading1"/>
        <w:rPr>
          <w:rFonts w:ascii="Aptos Display" w:eastAsia="Aptos Display" w:hAnsi="Aptos Display" w:cs="Aptos Display"/>
          <w:sz w:val="36"/>
          <w:szCs w:val="36"/>
        </w:rPr>
      </w:pPr>
      <w:r w:rsidRPr="0051687E">
        <w:rPr>
          <w:rFonts w:ascii="Aptos Display" w:eastAsiaTheme="minorEastAsia" w:hAnsi="Aptos Display" w:cstheme="minorBidi"/>
          <w:b w:val="0"/>
          <w:lang w:bidi="es-ES"/>
        </w:rPr>
        <w:t>La Administración de Vida Comunitaria (ACL) incorporó una condición a las adjudicaciones de los Centros de Vida Independiente (CIL) relacionada con la identificación del CIL y su presencia en línea. Este recurso ofrece información para ayudar a los CIL a comprender e implementar ese requisito, junto con los requisitos relacionados para reconocer la asistencia financiera federal. Explica las expectativas para identificar a una organización como un Centro de Vida Independiente, mantener una presencia pública en línea actualizada, utilizar los reconocimientos de financiamiento federal requeridos y actualizar los sitios web y otros materiales orientados al público. Este recurso tiene como objetivo respaldar el cumplimiento de los CIL con la Ley de Rehabilitación, los términos y condiciones de adjudicación aplicables y los requisitos de reconocimiento de financiamiento federal pero no reemplazar los requisitos contenidos en el Aviso de Adjudicación de un CIL u otros requisitos federales aplicables.</w:t>
      </w:r>
    </w:p>
    <w:p w14:paraId="77676486" w14:textId="677916BB" w:rsidR="144BA2E7" w:rsidRPr="0051687E" w:rsidRDefault="002E54F8" w:rsidP="144BA2E7">
      <w:pPr>
        <w:pStyle w:val="Heading1"/>
        <w:rPr>
          <w:rFonts w:ascii="Aptos Display" w:eastAsia="Aptos Display" w:hAnsi="Aptos Display" w:cs="Aptos Display"/>
          <w:sz w:val="36"/>
          <w:szCs w:val="36"/>
        </w:rPr>
      </w:pPr>
      <w:r w:rsidRPr="0051687E">
        <w:rPr>
          <w:rFonts w:ascii="Aptos Display" w:eastAsia="Aptos Display" w:hAnsi="Aptos Display" w:cs="Aptos Display"/>
          <w:sz w:val="36"/>
          <w:szCs w:val="36"/>
          <w:lang w:bidi="es-ES"/>
        </w:rPr>
        <w:t>La Ley de Rehabilitación y la presencia en línea</w:t>
      </w:r>
    </w:p>
    <w:p w14:paraId="31EAB075" w14:textId="13ADFF36" w:rsidR="144BA2E7" w:rsidRPr="0051687E" w:rsidRDefault="00D53B38" w:rsidP="144BA2E7">
      <w:pPr>
        <w:spacing w:before="240" w:after="24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 xml:space="preserve">La Sección 725(c)(10) de la Ley de Rehabilitación establece requisitos de alcance para los Centros de Vida Independiente, incluido el alcance a personas con discapacidades significativas que no reciben servicios o están desatendidas/subatendidas. Para respaldar el cumplimiento de estos requisitos, cada beneficiario de la Parte C debe mantener una presencia en línea activa y accesible al público, por ejemplo a través de un sitio web actualizado y plataformas de redes sociales. </w:t>
      </w:r>
    </w:p>
    <w:p w14:paraId="5F3F5F2D" w14:textId="2DA54284" w:rsidR="144BA2E7" w:rsidRPr="0051687E" w:rsidRDefault="144BA2E7" w:rsidP="144BA2E7">
      <w:pPr>
        <w:spacing w:before="240" w:after="24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 xml:space="preserve">La presencia en línea del CIL debe identificar claramente a la organización como un </w:t>
      </w:r>
      <w:r w:rsidRPr="0051687E">
        <w:rPr>
          <w:rFonts w:ascii="Aptos Display" w:eastAsia="Aptos Display" w:hAnsi="Aptos Display" w:cs="Aptos Display"/>
          <w:b/>
          <w:sz w:val="24"/>
          <w:szCs w:val="24"/>
          <w:lang w:bidi="es-ES"/>
        </w:rPr>
        <w:t>Centro de Vida Independiente</w:t>
      </w:r>
      <w:r w:rsidRPr="0051687E">
        <w:rPr>
          <w:rFonts w:ascii="Aptos Display" w:eastAsia="Aptos Display" w:hAnsi="Aptos Display" w:cs="Aptos Display"/>
          <w:sz w:val="24"/>
          <w:szCs w:val="24"/>
          <w:lang w:bidi="es-ES"/>
        </w:rPr>
        <w:t xml:space="preserve"> y ofrecer información actualizada sobre los servicios del CIL y cómo acceder a ellos.  Independientemente del nombre legal o público de la organización, el sitio web y los perfiles en redes sociales deben identificar claramente a la organización como un </w:t>
      </w:r>
      <w:r w:rsidRPr="0051687E">
        <w:rPr>
          <w:rFonts w:ascii="Aptos Display" w:eastAsia="Aptos Display" w:hAnsi="Aptos Display" w:cs="Aptos Display"/>
          <w:b/>
          <w:sz w:val="24"/>
          <w:szCs w:val="24"/>
          <w:lang w:bidi="es-ES"/>
        </w:rPr>
        <w:t>Centro de Vida Independiente.</w:t>
      </w:r>
      <w:r w:rsidRPr="0051687E">
        <w:rPr>
          <w:rFonts w:ascii="Aptos Display" w:eastAsia="Aptos Display" w:hAnsi="Aptos Display" w:cs="Aptos Display"/>
          <w:sz w:val="24"/>
          <w:szCs w:val="24"/>
          <w:lang w:bidi="es-ES"/>
        </w:rPr>
        <w:t xml:space="preserve"> </w:t>
      </w:r>
    </w:p>
    <w:p w14:paraId="760D0DE2" w14:textId="0856C287" w:rsidR="144BA2E7" w:rsidRPr="0051687E" w:rsidRDefault="00111196" w:rsidP="144BA2E7">
      <w:pPr>
        <w:pStyle w:val="Heading1"/>
        <w:rPr>
          <w:rFonts w:ascii="Aptos Display" w:eastAsia="Aptos Display" w:hAnsi="Aptos Display" w:cs="Aptos Display"/>
          <w:sz w:val="36"/>
          <w:szCs w:val="36"/>
        </w:rPr>
      </w:pPr>
      <w:r w:rsidRPr="0051687E">
        <w:rPr>
          <w:rFonts w:ascii="Aptos Display" w:eastAsia="Aptos Display" w:hAnsi="Aptos Display" w:cs="Aptos Display"/>
          <w:sz w:val="36"/>
          <w:szCs w:val="36"/>
          <w:lang w:bidi="es-ES"/>
        </w:rPr>
        <w:t>La Enmienda Stevens y el apoyo financiero federal</w:t>
      </w:r>
    </w:p>
    <w:p w14:paraId="41CDB7CB" w14:textId="63471959" w:rsidR="00111196" w:rsidRPr="0051687E" w:rsidRDefault="00111196" w:rsidP="144BA2E7">
      <w:pPr>
        <w:spacing w:before="240" w:after="24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Los CIL que reciben asistencia financiera federal de la Administración de Vida Comunitaria (ACL),  del Departamento de Salud y Servicios Humanos de los EE. UU.(HHS) también deben cumplir con los requisitos aplicables para reconocer el apoyo federal, incluidos los requisitos asociados con la Enmienda Stevens.</w:t>
      </w:r>
    </w:p>
    <w:p w14:paraId="207FDB39" w14:textId="72318A49" w:rsidR="00D424E6" w:rsidRPr="0051687E" w:rsidRDefault="00111196" w:rsidP="144BA2E7">
      <w:pPr>
        <w:spacing w:before="240" w:after="24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 xml:space="preserve">La Enmienda Stevens, promulgada por primera vez en 1989 para promover la transparencia y la rendición de cuentas en el gasto federal, exige que los beneficiarios de fondos federales brinden información sobre el </w:t>
      </w:r>
      <w:r w:rsidRPr="0051687E">
        <w:rPr>
          <w:rFonts w:ascii="Aptos Display" w:eastAsia="Aptos Display" w:hAnsi="Aptos Display" w:cs="Aptos Display"/>
          <w:sz w:val="24"/>
          <w:szCs w:val="24"/>
          <w:lang w:bidi="es-ES"/>
        </w:rPr>
        <w:lastRenderedPageBreak/>
        <w:t xml:space="preserve">gasto federal y no federal que respalda ciertos programas, proyectos o actividades al emitir comunicaciones públicas. El requisito continúa a través de las asignaciones federales anuales y se incluye cada año en los términos y condiciones de las adjudicaciones de la ACL. </w:t>
      </w:r>
    </w:p>
    <w:p w14:paraId="7A1F2033" w14:textId="06D0FD68" w:rsidR="144BA2E7" w:rsidRPr="0051687E" w:rsidRDefault="144BA2E7" w:rsidP="144BA2E7">
      <w:pPr>
        <w:spacing w:before="240" w:after="24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Los CIL deben leer y cumplir con todos los términos y condiciones incluidos en cada adjudicación anual y cualquier enmienda posterior. Esta información complementa, pero no reemplaza, los requisitos contenidos en esos documentos de adjudicación.</w:t>
      </w:r>
    </w:p>
    <w:p w14:paraId="4188995D" w14:textId="28E1F807" w:rsidR="144BA2E7" w:rsidRPr="0051687E" w:rsidRDefault="144BA2E7" w:rsidP="144BA2E7">
      <w:pPr>
        <w:spacing w:before="240" w:after="24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Los CIL que reciben fondos de la ACL deben reconocer el apoyo federal al describir públicamente al CIL o sus proyectos, actividades y servicios financiados con fondos federales. El reconocimiento debe incluir los montos y porcentajes de financiamiento federal y no gubernamental aplicables, junto con el descargo de responsabilidad requerido. Un reconocimiento del financiamiento o un logotipo federal por sí solos no son suficientes.</w:t>
      </w:r>
    </w:p>
    <w:p w14:paraId="456DF864" w14:textId="354C90AB" w:rsidR="144BA2E7" w:rsidRPr="0051687E" w:rsidRDefault="144BA2E7" w:rsidP="144BA2E7">
      <w:pPr>
        <w:pStyle w:val="Heading1"/>
        <w:rPr>
          <w:rFonts w:ascii="Aptos Display" w:eastAsia="Aptos Display" w:hAnsi="Aptos Display" w:cs="Aptos Display"/>
          <w:sz w:val="36"/>
          <w:szCs w:val="36"/>
        </w:rPr>
      </w:pPr>
      <w:r w:rsidRPr="0051687E">
        <w:rPr>
          <w:rFonts w:ascii="Aptos Display" w:eastAsia="Aptos Display" w:hAnsi="Aptos Display" w:cs="Aptos Display"/>
          <w:sz w:val="36"/>
          <w:szCs w:val="36"/>
          <w:lang w:bidi="es-ES"/>
        </w:rPr>
        <w:t>Comunicaciones que pueden requerir reconocimiento federal</w:t>
      </w:r>
    </w:p>
    <w:p w14:paraId="2CBD0DED" w14:textId="335211C4" w:rsidR="144BA2E7" w:rsidRPr="0051687E" w:rsidRDefault="1B7E467C" w:rsidP="482BB210">
      <w:pPr>
        <w:spacing w:before="240" w:after="24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 xml:space="preserve">La siguiente lista proporciona ejemplos de cuándo incluir el reconocimiento de apoyo federal en comunicaciones públicas que describen el Centro de Vida Independiente o su trabajo financiado por la ACL. Sitios web, blogs y </w:t>
      </w:r>
      <w:proofErr w:type="spellStart"/>
      <w:r w:rsidRPr="0051687E">
        <w:rPr>
          <w:rFonts w:ascii="Aptos Display" w:eastAsia="Aptos Display" w:hAnsi="Aptos Display" w:cs="Aptos Display"/>
          <w:sz w:val="24"/>
          <w:szCs w:val="24"/>
          <w:lang w:bidi="es-ES"/>
        </w:rPr>
        <w:t>vlogs</w:t>
      </w:r>
      <w:proofErr w:type="spellEnd"/>
      <w:r w:rsidRPr="0051687E">
        <w:rPr>
          <w:rFonts w:ascii="Aptos Display" w:eastAsia="Aptos Display" w:hAnsi="Aptos Display" w:cs="Aptos Display"/>
          <w:sz w:val="24"/>
          <w:szCs w:val="24"/>
          <w:lang w:bidi="es-ES"/>
        </w:rPr>
        <w:t xml:space="preserve"> </w:t>
      </w:r>
    </w:p>
    <w:p w14:paraId="28311472" w14:textId="10EAC0FC" w:rsidR="144BA2E7" w:rsidRPr="0051687E" w:rsidRDefault="144BA2E7" w:rsidP="144BA2E7">
      <w:pPr>
        <w:pStyle w:val="ListParagraph"/>
        <w:numPr>
          <w:ilvl w:val="0"/>
          <w:numId w:val="5"/>
        </w:numPr>
        <w:spacing w:after="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 xml:space="preserve">Folletos, estudios de caso, planes de estudio, resúmenes informativos, manuales, guías de recursos y cajas de herramientas </w:t>
      </w:r>
    </w:p>
    <w:p w14:paraId="5353AE77" w14:textId="69232242" w:rsidR="144BA2E7" w:rsidRPr="0051687E" w:rsidRDefault="144BA2E7" w:rsidP="144BA2E7">
      <w:pPr>
        <w:pStyle w:val="ListParagraph"/>
        <w:numPr>
          <w:ilvl w:val="0"/>
          <w:numId w:val="5"/>
        </w:numPr>
        <w:spacing w:after="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 xml:space="preserve">Correos electrónicos masivos, pero no correos electrónicos individuales rutinarios </w:t>
      </w:r>
    </w:p>
    <w:p w14:paraId="50F8D882" w14:textId="7C721424" w:rsidR="144BA2E7" w:rsidRPr="0051687E" w:rsidRDefault="144BA2E7" w:rsidP="144BA2E7">
      <w:pPr>
        <w:pStyle w:val="ListParagraph"/>
        <w:numPr>
          <w:ilvl w:val="0"/>
          <w:numId w:val="5"/>
        </w:numPr>
        <w:spacing w:after="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 xml:space="preserve">Comunicados de prensa y declaraciones públicas </w:t>
      </w:r>
    </w:p>
    <w:p w14:paraId="706FEA66" w14:textId="15D33239" w:rsidR="144BA2E7" w:rsidRPr="0051687E" w:rsidRDefault="144BA2E7" w:rsidP="144BA2E7">
      <w:pPr>
        <w:pStyle w:val="ListParagraph"/>
        <w:numPr>
          <w:ilvl w:val="0"/>
          <w:numId w:val="5"/>
        </w:numPr>
        <w:spacing w:after="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 xml:space="preserve">Presentaciones, carteles, folletos y anuncios </w:t>
      </w:r>
    </w:p>
    <w:p w14:paraId="58A88BBC" w14:textId="4B1AEB9B" w:rsidR="144BA2E7" w:rsidRPr="0051687E" w:rsidRDefault="144BA2E7" w:rsidP="144BA2E7">
      <w:pPr>
        <w:pStyle w:val="ListParagraph"/>
        <w:numPr>
          <w:ilvl w:val="0"/>
          <w:numId w:val="5"/>
        </w:numPr>
        <w:spacing w:after="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 xml:space="preserve">Solicitudes de propuestas y licitaciones </w:t>
      </w:r>
    </w:p>
    <w:p w14:paraId="2FDDAE5D" w14:textId="7C3026E3" w:rsidR="144BA2E7" w:rsidRPr="0051687E" w:rsidRDefault="144BA2E7" w:rsidP="144BA2E7">
      <w:pPr>
        <w:pStyle w:val="ListParagraph"/>
        <w:numPr>
          <w:ilvl w:val="0"/>
          <w:numId w:val="5"/>
        </w:numPr>
        <w:spacing w:after="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 xml:space="preserve">Publicaciones descargables y otros materiales orientados al público </w:t>
      </w:r>
    </w:p>
    <w:p w14:paraId="0FC8F881" w14:textId="4CEC5444" w:rsidR="144BA2E7" w:rsidRPr="0051687E" w:rsidRDefault="144BA2E7" w:rsidP="144BA2E7">
      <w:pPr>
        <w:spacing w:before="240" w:after="24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Esta lista no es exhaustiva. Revise los términos y condiciones de la adjudicación anual para decidir si algún comunicado requiere el reconocimiento.</w:t>
      </w:r>
    </w:p>
    <w:p w14:paraId="0AE9A8BD" w14:textId="38C560ED" w:rsidR="144BA2E7" w:rsidRPr="0051687E" w:rsidRDefault="144BA2E7" w:rsidP="144BA2E7">
      <w:pPr>
        <w:rPr>
          <w:rFonts w:ascii="Aptos Display" w:eastAsia="Aptos Display" w:hAnsi="Aptos Display" w:cs="Aptos Display"/>
          <w:i/>
          <w:iCs/>
          <w:sz w:val="24"/>
          <w:szCs w:val="24"/>
        </w:rPr>
      </w:pPr>
      <w:r w:rsidRPr="0051687E">
        <w:rPr>
          <w:rFonts w:ascii="Aptos Display" w:eastAsia="Aptos Display" w:hAnsi="Aptos Display" w:cs="Aptos Display"/>
          <w:i/>
          <w:sz w:val="24"/>
          <w:szCs w:val="24"/>
          <w:lang w:bidi="es-ES"/>
        </w:rPr>
        <w:t xml:space="preserve">Los siguientes ejemplos están adaptados del </w:t>
      </w:r>
      <w:hyperlink r:id="rId8">
        <w:r w:rsidRPr="0051687E">
          <w:rPr>
            <w:rStyle w:val="Hyperlink"/>
            <w:rFonts w:ascii="Aptos Display" w:eastAsia="Aptos Display" w:hAnsi="Aptos Display" w:cs="Aptos Display"/>
            <w:i/>
            <w:sz w:val="24"/>
            <w:szCs w:val="24"/>
            <w:lang w:bidi="es-ES"/>
          </w:rPr>
          <w:t>recurso de ITACC</w:t>
        </w:r>
      </w:hyperlink>
      <w:r w:rsidRPr="0051687E">
        <w:rPr>
          <w:rFonts w:ascii="Aptos Display" w:eastAsia="Aptos Display" w:hAnsi="Aptos Display" w:cs="Aptos Display"/>
          <w:i/>
          <w:sz w:val="24"/>
          <w:szCs w:val="24"/>
          <w:lang w:bidi="es-ES"/>
        </w:rPr>
        <w:t xml:space="preserve"> citado por la ACL.</w:t>
      </w:r>
    </w:p>
    <w:p w14:paraId="0C08994B" w14:textId="079DE645" w:rsidR="00B06B57" w:rsidRPr="0051687E" w:rsidRDefault="002E54F8" w:rsidP="144BA2E7">
      <w:pPr>
        <w:pStyle w:val="Heading1"/>
        <w:rPr>
          <w:rFonts w:ascii="Aptos Display" w:eastAsia="Aptos Display" w:hAnsi="Aptos Display" w:cs="Aptos Display"/>
          <w:sz w:val="36"/>
          <w:szCs w:val="36"/>
        </w:rPr>
      </w:pPr>
      <w:r w:rsidRPr="0051687E">
        <w:rPr>
          <w:rFonts w:ascii="Aptos Display" w:eastAsia="Aptos Display" w:hAnsi="Aptos Display" w:cs="Aptos Display"/>
          <w:sz w:val="36"/>
          <w:szCs w:val="36"/>
          <w:lang w:bidi="es-ES"/>
        </w:rPr>
        <w:t>Ejemplos de declaraciones de reconocimiento</w:t>
      </w:r>
    </w:p>
    <w:p w14:paraId="313AB938" w14:textId="14F986BE" w:rsidR="002B6BCD" w:rsidRPr="0051687E" w:rsidRDefault="002B6BCD" w:rsidP="144BA2E7">
      <w:pPr>
        <w:spacing w:before="240" w:after="24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 xml:space="preserve">Para cumplir con los requisitos de la Ley de Rehabilitación y la Enmienda Stevens, utilice los siguientes párrafos narrativos basados en la financiación del CIL. Independientemente del nombre oficial de su Centro de Vida Independiente, su sitio web debe identificar que la organización es un Centro de Vida Independiente. Los siguientes párrafos son extraídos de </w:t>
      </w:r>
      <w:hyperlink r:id="rId9" w:history="1">
        <w:r w:rsidR="002E54F8" w:rsidRPr="0051687E">
          <w:rPr>
            <w:rStyle w:val="Hyperlink"/>
            <w:rFonts w:ascii="Aptos Display" w:eastAsia="Aptos Display" w:hAnsi="Aptos Display" w:cs="Aptos Display"/>
            <w:sz w:val="24"/>
            <w:szCs w:val="24"/>
            <w:lang w:bidi="es-ES"/>
          </w:rPr>
          <w:t>https://acl.gov/grants/managing-grant</w:t>
        </w:r>
      </w:hyperlink>
      <w:r w:rsidRPr="0051687E">
        <w:rPr>
          <w:rFonts w:ascii="Aptos Display" w:eastAsia="Aptos Display" w:hAnsi="Aptos Display" w:cs="Aptos Display"/>
          <w:sz w:val="24"/>
          <w:szCs w:val="24"/>
          <w:lang w:bidi="es-ES"/>
        </w:rPr>
        <w:t>.</w:t>
      </w:r>
    </w:p>
    <w:p w14:paraId="70FC7539" w14:textId="1C94D894" w:rsidR="00B06B57" w:rsidRPr="0051687E" w:rsidRDefault="002B6BCD" w:rsidP="002E54F8">
      <w:pPr>
        <w:pStyle w:val="ListParagraph"/>
        <w:numPr>
          <w:ilvl w:val="0"/>
          <w:numId w:val="18"/>
        </w:numPr>
        <w:spacing w:before="240" w:after="240"/>
        <w:rPr>
          <w:rFonts w:ascii="Aptos Display" w:eastAsia="Aptos Display" w:hAnsi="Aptos Display" w:cs="Aptos Display"/>
          <w:sz w:val="24"/>
          <w:szCs w:val="24"/>
        </w:rPr>
      </w:pPr>
      <w:r w:rsidRPr="0051687E">
        <w:rPr>
          <w:rFonts w:ascii="Aptos Display" w:eastAsia="Aptos Display" w:hAnsi="Aptos Display" w:cs="Aptos Display"/>
          <w:b/>
          <w:i/>
          <w:sz w:val="24"/>
          <w:szCs w:val="24"/>
          <w:lang w:bidi="es-ES"/>
        </w:rPr>
        <w:t xml:space="preserve">CIL que reciben financiación tanto federal como no federal:  </w:t>
      </w:r>
      <w:r w:rsidRPr="0051687E">
        <w:rPr>
          <w:rFonts w:ascii="Aptos Display" w:eastAsia="Aptos Display" w:hAnsi="Aptos Display" w:cs="Aptos Display"/>
          <w:i/>
          <w:sz w:val="24"/>
          <w:szCs w:val="24"/>
          <w:lang w:bidi="es-ES"/>
        </w:rPr>
        <w:t xml:space="preserve">Este Centro de Vida Independiente [es/fue] respaldado por la Administración de Vida Comunitaria (ACL) </w:t>
      </w:r>
      <w:r w:rsidR="0051687E" w:rsidRPr="0051687E">
        <w:rPr>
          <w:rFonts w:ascii="Aptos Display" w:eastAsia="Aptos Display" w:hAnsi="Aptos Display" w:cs="Aptos Display"/>
          <w:i/>
          <w:sz w:val="24"/>
          <w:szCs w:val="24"/>
          <w:lang w:bidi="es-ES"/>
        </w:rPr>
        <w:t>del Departamento</w:t>
      </w:r>
      <w:r w:rsidRPr="0051687E">
        <w:rPr>
          <w:rFonts w:ascii="Aptos Display" w:eastAsia="Aptos Display" w:hAnsi="Aptos Display" w:cs="Aptos Display"/>
          <w:i/>
          <w:sz w:val="24"/>
          <w:szCs w:val="24"/>
          <w:lang w:bidi="es-ES"/>
        </w:rPr>
        <w:t xml:space="preserve"> de Salud y Servicios Humanos de los EE. UU. (HHS) como parte de una adjudicación de asistencia financiera por un total de $[monto otorgado por ACL/HHS] con un [porcentaje] por ciento financiado por la ACL/HHS y $[monto] y un [porcentaje] por ciento financiado por fuente(s) no gubernamental(es). </w:t>
      </w:r>
      <w:r w:rsidRPr="0051687E">
        <w:rPr>
          <w:rFonts w:ascii="Aptos Display" w:eastAsia="Aptos Display" w:hAnsi="Aptos Display" w:cs="Aptos Display"/>
          <w:i/>
          <w:sz w:val="24"/>
          <w:szCs w:val="24"/>
          <w:lang w:bidi="es-ES"/>
        </w:rPr>
        <w:lastRenderedPageBreak/>
        <w:t xml:space="preserve">Los contenidos son los del autor o autores y no representan necesariamente las opiniones oficiales de, ni un respaldo por parte de, la ACL/HHS o del </w:t>
      </w:r>
      <w:r w:rsidR="0051687E" w:rsidRPr="0051687E">
        <w:rPr>
          <w:rFonts w:ascii="Aptos Display" w:eastAsia="Aptos Display" w:hAnsi="Aptos Display" w:cs="Aptos Display"/>
          <w:i/>
          <w:sz w:val="24"/>
          <w:szCs w:val="24"/>
          <w:lang w:bidi="es-ES"/>
        </w:rPr>
        <w:t>Gobierno de</w:t>
      </w:r>
      <w:r w:rsidRPr="0051687E">
        <w:rPr>
          <w:rFonts w:ascii="Aptos Display" w:eastAsia="Aptos Display" w:hAnsi="Aptos Display" w:cs="Aptos Display"/>
          <w:i/>
          <w:sz w:val="24"/>
          <w:szCs w:val="24"/>
          <w:lang w:bidi="es-ES"/>
        </w:rPr>
        <w:t xml:space="preserve"> los EE. UU.</w:t>
      </w:r>
    </w:p>
    <w:p w14:paraId="7E48CD10" w14:textId="77777777" w:rsidR="00BB6C46" w:rsidRPr="0051687E" w:rsidRDefault="00BB6C46" w:rsidP="00BB6C46">
      <w:pPr>
        <w:pStyle w:val="ListParagraph"/>
        <w:spacing w:before="240" w:after="240"/>
        <w:rPr>
          <w:rFonts w:ascii="Aptos Display" w:eastAsia="Aptos Display" w:hAnsi="Aptos Display" w:cs="Aptos Display"/>
          <w:sz w:val="24"/>
          <w:szCs w:val="24"/>
        </w:rPr>
      </w:pPr>
    </w:p>
    <w:p w14:paraId="7455BF39" w14:textId="4F26DDDF" w:rsidR="00BB6C46" w:rsidRPr="0051687E" w:rsidRDefault="00BB6C46" w:rsidP="00BB6C46">
      <w:pPr>
        <w:pStyle w:val="ListParagraph"/>
        <w:numPr>
          <w:ilvl w:val="1"/>
          <w:numId w:val="18"/>
        </w:numPr>
        <w:spacing w:before="240" w:after="240"/>
        <w:rPr>
          <w:rFonts w:ascii="Aptos Display" w:eastAsia="Aptos Display" w:hAnsi="Aptos Display" w:cs="Aptos Display"/>
          <w:sz w:val="24"/>
          <w:szCs w:val="24"/>
        </w:rPr>
      </w:pPr>
      <w:r w:rsidRPr="0051687E">
        <w:rPr>
          <w:rFonts w:ascii="Aptos Display" w:eastAsia="Aptos Display" w:hAnsi="Aptos Display" w:cs="Aptos Display"/>
          <w:b/>
          <w:i/>
          <w:sz w:val="24"/>
          <w:szCs w:val="24"/>
          <w:lang w:bidi="es-ES"/>
        </w:rPr>
        <w:t xml:space="preserve">Ejemplo: </w:t>
      </w:r>
      <w:r w:rsidRPr="0051687E">
        <w:rPr>
          <w:rFonts w:ascii="Aptos Display" w:eastAsia="Aptos Display" w:hAnsi="Aptos Display" w:cs="Aptos Display"/>
          <w:i/>
          <w:sz w:val="24"/>
          <w:szCs w:val="24"/>
          <w:lang w:bidi="es-ES"/>
        </w:rPr>
        <w:t>Este Centro de Vida Independiente cuenta con el apoyo de la Administración de Vida Comunitaria (ACL), del Departamento de Salud y Servicios Humanos de los EE. UU. (HHS)  como parte de una adjudicación de asistencia financiera por un total de $800,000, con un 80 por ciento financiado por la ACL/HHS y $200,000, o el 20 por ciento, financiado por fuentes no gubernamentales. Los contenidos son responsabilidad del autor o autores y no representan necesariamente las opiniones oficiales ni constituyen un respaldo por parte de la ACL/HHS o del Gobierno de los EE. UU.</w:t>
      </w:r>
    </w:p>
    <w:p w14:paraId="62894AA0" w14:textId="77777777" w:rsidR="002E54F8" w:rsidRPr="0051687E" w:rsidRDefault="002E54F8" w:rsidP="002E54F8">
      <w:pPr>
        <w:pStyle w:val="ListParagraph"/>
        <w:spacing w:before="240" w:after="240"/>
        <w:rPr>
          <w:rFonts w:ascii="Aptos Display" w:eastAsia="Aptos Display" w:hAnsi="Aptos Display" w:cs="Aptos Display"/>
          <w:sz w:val="24"/>
          <w:szCs w:val="24"/>
        </w:rPr>
      </w:pPr>
    </w:p>
    <w:p w14:paraId="3509D240" w14:textId="25FA3C8B" w:rsidR="002B6BCD" w:rsidRPr="0051687E" w:rsidRDefault="002B6BCD" w:rsidP="002B6BCD">
      <w:pPr>
        <w:pStyle w:val="ListParagraph"/>
        <w:numPr>
          <w:ilvl w:val="0"/>
          <w:numId w:val="18"/>
        </w:numPr>
        <w:rPr>
          <w:rFonts w:ascii="Aptos Display" w:eastAsia="Aptos Display" w:hAnsi="Aptos Display" w:cs="Aptos Display"/>
          <w:i/>
          <w:iCs/>
          <w:sz w:val="24"/>
          <w:szCs w:val="24"/>
        </w:rPr>
      </w:pPr>
      <w:r w:rsidRPr="0051687E">
        <w:rPr>
          <w:rFonts w:ascii="Aptos Display" w:eastAsia="Aptos Display" w:hAnsi="Aptos Display" w:cs="Aptos Display"/>
          <w:b/>
          <w:i/>
          <w:sz w:val="24"/>
          <w:szCs w:val="24"/>
          <w:lang w:bidi="es-ES"/>
        </w:rPr>
        <w:t xml:space="preserve">CIL con 100 por ciento de financiamiento de la ACL/HHS:  </w:t>
      </w:r>
      <w:r w:rsidRPr="0051687E">
        <w:rPr>
          <w:rFonts w:ascii="Aptos Display" w:eastAsia="Aptos Display" w:hAnsi="Aptos Display" w:cs="Aptos Display"/>
          <w:i/>
          <w:sz w:val="24"/>
          <w:szCs w:val="24"/>
          <w:lang w:bidi="es-ES"/>
        </w:rPr>
        <w:t xml:space="preserve">Este Centro de Vida Independiente [es/fue] respaldado por la Administración de Vida Comunitaria (ACL) </w:t>
      </w:r>
      <w:r w:rsidR="0051687E" w:rsidRPr="0051687E">
        <w:rPr>
          <w:rFonts w:ascii="Aptos Display" w:eastAsia="Aptos Display" w:hAnsi="Aptos Display" w:cs="Aptos Display"/>
          <w:i/>
          <w:sz w:val="24"/>
          <w:szCs w:val="24"/>
          <w:lang w:bidi="es-ES"/>
        </w:rPr>
        <w:t>del Departamento</w:t>
      </w:r>
      <w:r w:rsidRPr="0051687E">
        <w:rPr>
          <w:rFonts w:ascii="Aptos Display" w:eastAsia="Aptos Display" w:hAnsi="Aptos Display" w:cs="Aptos Display"/>
          <w:i/>
          <w:sz w:val="24"/>
          <w:szCs w:val="24"/>
          <w:lang w:bidi="es-ES"/>
        </w:rPr>
        <w:t xml:space="preserve"> de Salud y Servicios Humanos de los EE. UU.(HHS) como parte de una adjudicación de asistencia financiera por un total de $[monto otorgado por ACL/HHS], con un 100 por ciento financiado por la ACL/HHS. Los contenidos son los del autor o autores y no representan necesariamente las opiniones oficiales de, ni un respaldo por parte de, la ACL/HHS o del </w:t>
      </w:r>
      <w:r w:rsidR="0051687E" w:rsidRPr="0051687E">
        <w:rPr>
          <w:rFonts w:ascii="Aptos Display" w:eastAsia="Aptos Display" w:hAnsi="Aptos Display" w:cs="Aptos Display"/>
          <w:i/>
          <w:sz w:val="24"/>
          <w:szCs w:val="24"/>
          <w:lang w:bidi="es-ES"/>
        </w:rPr>
        <w:t>Gobierno de</w:t>
      </w:r>
      <w:r w:rsidRPr="0051687E">
        <w:rPr>
          <w:rFonts w:ascii="Aptos Display" w:eastAsia="Aptos Display" w:hAnsi="Aptos Display" w:cs="Aptos Display"/>
          <w:i/>
          <w:sz w:val="24"/>
          <w:szCs w:val="24"/>
          <w:lang w:bidi="es-ES"/>
        </w:rPr>
        <w:t xml:space="preserve"> los EE. UU.</w:t>
      </w:r>
    </w:p>
    <w:p w14:paraId="0DF8AE49" w14:textId="77777777" w:rsidR="00BB6C46" w:rsidRPr="0051687E" w:rsidRDefault="00BB6C46" w:rsidP="00BB6C46">
      <w:pPr>
        <w:pStyle w:val="ListParagraph"/>
        <w:rPr>
          <w:rFonts w:ascii="Aptos Display" w:eastAsia="Aptos Display" w:hAnsi="Aptos Display" w:cs="Aptos Display"/>
          <w:i/>
          <w:iCs/>
          <w:sz w:val="24"/>
          <w:szCs w:val="24"/>
        </w:rPr>
      </w:pPr>
    </w:p>
    <w:p w14:paraId="33832720" w14:textId="231F5FD5" w:rsidR="00BB6C46" w:rsidRPr="0051687E" w:rsidRDefault="00BB6C46" w:rsidP="00BB6C46">
      <w:pPr>
        <w:pStyle w:val="ListParagraph"/>
        <w:numPr>
          <w:ilvl w:val="1"/>
          <w:numId w:val="18"/>
        </w:numPr>
        <w:rPr>
          <w:rFonts w:ascii="Aptos Display" w:eastAsia="Aptos Display" w:hAnsi="Aptos Display" w:cs="Aptos Display"/>
          <w:i/>
          <w:iCs/>
          <w:sz w:val="24"/>
          <w:szCs w:val="24"/>
        </w:rPr>
      </w:pPr>
      <w:r w:rsidRPr="0051687E">
        <w:rPr>
          <w:rFonts w:ascii="Aptos Display" w:eastAsia="Aptos Display" w:hAnsi="Aptos Display" w:cs="Aptos Display"/>
          <w:b/>
          <w:i/>
          <w:sz w:val="24"/>
          <w:szCs w:val="24"/>
          <w:lang w:bidi="es-ES"/>
        </w:rPr>
        <w:t xml:space="preserve">Ejemplo: </w:t>
      </w:r>
      <w:r w:rsidRPr="0051687E">
        <w:rPr>
          <w:rFonts w:ascii="Aptos Display" w:eastAsia="Aptos Display" w:hAnsi="Aptos Display" w:cs="Aptos Display"/>
          <w:i/>
          <w:sz w:val="24"/>
          <w:szCs w:val="24"/>
          <w:lang w:bidi="es-ES"/>
        </w:rPr>
        <w:t>Este Centro de Vida Independiente cuenta con el apoyo de la Administración de Vida Comunitaria (ACL), del Departamento de Salud y Servicios Humanos (HHS) de los EE. UU.  como parte de una adjudicación de asistencia financiera por un total de $800,000, con un 100 por ciento financiado por la ACL/HHS. Los contenidos son responsabilidad del autor o autores y no representan necesariamente las opiniones oficiales ni constituyen un respaldo por parte de la ACL/HHS o del Gobierno de los EE. UU.</w:t>
      </w:r>
    </w:p>
    <w:p w14:paraId="6C7F4BD2" w14:textId="77777777" w:rsidR="00BB6C46" w:rsidRPr="0051687E" w:rsidRDefault="00BB6C46" w:rsidP="00BB6C46">
      <w:pPr>
        <w:pStyle w:val="Heading2"/>
        <w:numPr>
          <w:ilvl w:val="0"/>
          <w:numId w:val="18"/>
        </w:numPr>
        <w:spacing w:before="240" w:after="240"/>
        <w:rPr>
          <w:rFonts w:ascii="Aptos Display" w:eastAsia="Aptos Display" w:hAnsi="Aptos Display" w:cs="Aptos Display"/>
          <w:i/>
          <w:iCs/>
          <w:sz w:val="24"/>
          <w:szCs w:val="24"/>
        </w:rPr>
      </w:pPr>
      <w:r w:rsidRPr="0051687E">
        <w:rPr>
          <w:rFonts w:ascii="Aptos Display" w:eastAsia="Aptos Display" w:hAnsi="Aptos Display" w:cs="Aptos Display"/>
          <w:color w:val="auto"/>
          <w:sz w:val="24"/>
          <w:szCs w:val="24"/>
          <w:lang w:bidi="es-ES"/>
        </w:rPr>
        <w:t>Solicitud de propuestas o licitación</w:t>
      </w:r>
      <w:r w:rsidRPr="0051687E">
        <w:rPr>
          <w:rFonts w:ascii="Aptos Display" w:eastAsia="Aptos Display" w:hAnsi="Aptos Display" w:cs="Aptos Display"/>
          <w:b w:val="0"/>
          <w:color w:val="auto"/>
          <w:sz w:val="24"/>
          <w:szCs w:val="24"/>
          <w:lang w:bidi="es-ES"/>
        </w:rPr>
        <w:t>:</w:t>
      </w:r>
      <w:r w:rsidRPr="0051687E">
        <w:rPr>
          <w:rFonts w:ascii="Aptos Display" w:eastAsia="Aptos Display" w:hAnsi="Aptos Display" w:cs="Aptos Display"/>
          <w:b w:val="0"/>
          <w:i/>
          <w:color w:val="auto"/>
          <w:lang w:bidi="es-ES"/>
        </w:rPr>
        <w:t xml:space="preserve"> </w:t>
      </w:r>
      <w:r w:rsidRPr="0051687E">
        <w:rPr>
          <w:rFonts w:ascii="Aptos Display" w:eastAsia="Aptos Display" w:hAnsi="Aptos Display" w:cs="Aptos Display"/>
          <w:b w:val="0"/>
          <w:i/>
          <w:color w:val="auto"/>
          <w:sz w:val="24"/>
          <w:szCs w:val="24"/>
          <w:lang w:bidi="es-ES"/>
        </w:rPr>
        <w:t>Esta licitación es emitida por [nombre del CIL], un Centro de Vida Independiente, y cuenta con el apoyo de la ACL/HHS como parte de una adjudicación de asistencia financiera por un total de $800,000, con un 100 por ciento financiado por la ACL/HHS.</w:t>
      </w:r>
    </w:p>
    <w:p w14:paraId="29BCF308" w14:textId="036F671B" w:rsidR="00BB6C46" w:rsidRPr="0051687E" w:rsidRDefault="00BB6C46" w:rsidP="00BB6C46">
      <w:pPr>
        <w:pStyle w:val="Heading2"/>
        <w:numPr>
          <w:ilvl w:val="0"/>
          <w:numId w:val="18"/>
        </w:numPr>
        <w:spacing w:before="240" w:after="240"/>
        <w:rPr>
          <w:rFonts w:ascii="Aptos Display" w:eastAsia="Aptos Display" w:hAnsi="Aptos Display" w:cs="Aptos Display"/>
          <w:i/>
          <w:iCs/>
          <w:sz w:val="24"/>
          <w:szCs w:val="24"/>
        </w:rPr>
      </w:pPr>
      <w:r w:rsidRPr="0051687E">
        <w:rPr>
          <w:rFonts w:ascii="Aptos Display" w:eastAsia="Aptos Display" w:hAnsi="Aptos Display" w:cs="Aptos Display"/>
          <w:color w:val="auto"/>
          <w:sz w:val="24"/>
          <w:szCs w:val="24"/>
          <w:lang w:bidi="es-ES"/>
        </w:rPr>
        <w:t>Redes sociales:</w:t>
      </w:r>
      <w:r w:rsidRPr="0051687E">
        <w:rPr>
          <w:rFonts w:ascii="Aptos Display" w:eastAsia="Aptos Display" w:hAnsi="Aptos Display" w:cs="Aptos Display"/>
          <w:b w:val="0"/>
          <w:color w:val="auto"/>
          <w:sz w:val="24"/>
          <w:szCs w:val="24"/>
          <w:lang w:bidi="es-ES"/>
        </w:rPr>
        <w:t xml:space="preserve"> Para obtener información sobre el financiamiento federal para [nombre del CIL], un Centro de Vida Independiente, visite [link para completar el reconocimiento de financiamiento].</w:t>
      </w:r>
    </w:p>
    <w:p w14:paraId="50C4492E" w14:textId="77777777" w:rsidR="00BB6C46" w:rsidRPr="0051687E" w:rsidRDefault="00BB6C46" w:rsidP="00BB6C46">
      <w:pPr>
        <w:spacing w:before="240" w:after="240"/>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 xml:space="preserve">Para ver distintos ejemplos de solicitudes, documentos públicos, sitios web y redes sociales, y permitir que las publicaciones en redes sociales enlacen a la divulgación completa del sitio web, consulte el </w:t>
      </w:r>
      <w:hyperlink r:id="rId10">
        <w:r w:rsidRPr="0051687E">
          <w:rPr>
            <w:rStyle w:val="Hyperlink"/>
            <w:rFonts w:ascii="Aptos Display" w:eastAsia="Aptos Display" w:hAnsi="Aptos Display" w:cs="Aptos Display"/>
            <w:sz w:val="24"/>
            <w:szCs w:val="24"/>
            <w:lang w:bidi="es-ES"/>
          </w:rPr>
          <w:t>recurso de ITACC</w:t>
        </w:r>
      </w:hyperlink>
      <w:r w:rsidRPr="0051687E">
        <w:rPr>
          <w:rFonts w:ascii="Aptos Display" w:eastAsia="Aptos Display" w:hAnsi="Aptos Display" w:cs="Aptos Display"/>
          <w:sz w:val="24"/>
          <w:szCs w:val="24"/>
          <w:lang w:bidi="es-ES"/>
        </w:rPr>
        <w:t xml:space="preserve"> citado por la ACL.</w:t>
      </w:r>
    </w:p>
    <w:p w14:paraId="24175DBD" w14:textId="341C86B8" w:rsidR="144BA2E7" w:rsidRPr="0051687E" w:rsidRDefault="144BA2E7" w:rsidP="144BA2E7">
      <w:pPr>
        <w:pStyle w:val="Heading1"/>
      </w:pPr>
      <w:r w:rsidRPr="0051687E">
        <w:rPr>
          <w:rFonts w:ascii="Aptos Display" w:eastAsia="Aptos Display" w:hAnsi="Aptos Display" w:cs="Aptos Display"/>
          <w:sz w:val="36"/>
          <w:szCs w:val="36"/>
          <w:lang w:bidi="es-ES"/>
        </w:rPr>
        <w:t>Pasos para actualizar sus materiales</w:t>
      </w:r>
    </w:p>
    <w:p w14:paraId="51241BC3" w14:textId="377C7495" w:rsidR="144BA2E7" w:rsidRPr="0051687E" w:rsidRDefault="144BA2E7" w:rsidP="144BA2E7">
      <w:pPr>
        <w:pStyle w:val="ListParagraph"/>
        <w:numPr>
          <w:ilvl w:val="0"/>
          <w:numId w:val="2"/>
        </w:numPr>
        <w:ind w:left="360"/>
        <w:rPr>
          <w:rFonts w:ascii="Aptos Display" w:eastAsia="Aptos Display" w:hAnsi="Aptos Display" w:cs="Aptos Display"/>
          <w:sz w:val="24"/>
          <w:szCs w:val="24"/>
        </w:rPr>
      </w:pPr>
      <w:r w:rsidRPr="0051687E">
        <w:rPr>
          <w:rFonts w:ascii="Aptos Display" w:eastAsia="Aptos Display" w:hAnsi="Aptos Display" w:cs="Aptos Display"/>
          <w:b/>
          <w:sz w:val="24"/>
          <w:szCs w:val="24"/>
          <w:lang w:bidi="es-ES"/>
        </w:rPr>
        <w:t>Revise los requisitos de su adjudicación.</w:t>
      </w:r>
      <w:r w:rsidRPr="0051687E">
        <w:rPr>
          <w:rFonts w:ascii="Aptos Display" w:eastAsia="Aptos Display" w:hAnsi="Aptos Display" w:cs="Aptos Display"/>
          <w:sz w:val="24"/>
          <w:szCs w:val="24"/>
          <w:lang w:bidi="es-ES"/>
        </w:rPr>
        <w:t xml:space="preserve"> Lea el Aviso de Adjudicación completo y todos los términos y condiciones que se incorporan cada año. No asuma que los requisitos no tuvieron modificaciones con respecto al año anterior. </w:t>
      </w:r>
    </w:p>
    <w:p w14:paraId="524ED8AA" w14:textId="3106C5F0" w:rsidR="144BA2E7" w:rsidRPr="0051687E" w:rsidRDefault="144BA2E7" w:rsidP="144BA2E7">
      <w:pPr>
        <w:pStyle w:val="ListParagraph"/>
        <w:numPr>
          <w:ilvl w:val="1"/>
          <w:numId w:val="2"/>
        </w:numPr>
        <w:ind w:left="720"/>
        <w:rPr>
          <w:rFonts w:ascii="Aptos Display" w:eastAsia="Aptos Display" w:hAnsi="Aptos Display" w:cs="Aptos Display"/>
          <w:sz w:val="24"/>
          <w:szCs w:val="24"/>
        </w:rPr>
      </w:pPr>
      <w:r w:rsidRPr="0051687E">
        <w:rPr>
          <w:rFonts w:ascii="Aptos Display" w:eastAsia="Aptos Display" w:hAnsi="Aptos Display" w:cs="Aptos Display"/>
          <w:b/>
          <w:sz w:val="24"/>
          <w:szCs w:val="24"/>
          <w:lang w:bidi="es-ES"/>
        </w:rPr>
        <w:t>Confirme la información de financiamiento.</w:t>
      </w:r>
      <w:r w:rsidRPr="0051687E">
        <w:rPr>
          <w:rFonts w:ascii="Aptos Display" w:eastAsia="Aptos Display" w:hAnsi="Aptos Display" w:cs="Aptos Display"/>
          <w:sz w:val="24"/>
          <w:szCs w:val="24"/>
          <w:lang w:bidi="es-ES"/>
        </w:rPr>
        <w:t xml:space="preserve"> Haga que el personal fiscal verifique el monto actual de la adjudicación de la ACL/HHS, el período de financiamiento, los costos totales y cualquier financiamiento no gubernamental. </w:t>
      </w:r>
    </w:p>
    <w:p w14:paraId="0757557F" w14:textId="1C8FAF3D" w:rsidR="144BA2E7" w:rsidRPr="0051687E" w:rsidRDefault="144BA2E7" w:rsidP="144BA2E7">
      <w:pPr>
        <w:pStyle w:val="ListParagraph"/>
        <w:numPr>
          <w:ilvl w:val="1"/>
          <w:numId w:val="2"/>
        </w:numPr>
        <w:ind w:left="720"/>
        <w:rPr>
          <w:rFonts w:ascii="Aptos Display" w:eastAsia="Aptos Display" w:hAnsi="Aptos Display" w:cs="Aptos Display"/>
          <w:sz w:val="24"/>
          <w:szCs w:val="24"/>
        </w:rPr>
      </w:pPr>
      <w:r w:rsidRPr="0051687E">
        <w:rPr>
          <w:rFonts w:ascii="Aptos Display" w:eastAsia="Aptos Display" w:hAnsi="Aptos Display" w:cs="Aptos Display"/>
          <w:b/>
          <w:sz w:val="24"/>
          <w:szCs w:val="24"/>
          <w:lang w:bidi="es-ES"/>
        </w:rPr>
        <w:lastRenderedPageBreak/>
        <w:t>Calcule los porcentajes de financiamiento.</w:t>
      </w:r>
      <w:r w:rsidRPr="0051687E">
        <w:rPr>
          <w:rFonts w:ascii="Aptos Display" w:eastAsia="Aptos Display" w:hAnsi="Aptos Display" w:cs="Aptos Display"/>
          <w:sz w:val="24"/>
          <w:szCs w:val="24"/>
          <w:lang w:bidi="es-ES"/>
        </w:rPr>
        <w:t xml:space="preserve"> Calcule las partes federales y no gubernamentales utilizando los costos totales para el mismo Centro de Vida Independiente, proyecto, actividad o servicio y el mismo período de financiamiento. </w:t>
      </w:r>
    </w:p>
    <w:p w14:paraId="795300B0" w14:textId="74336097" w:rsidR="144BA2E7" w:rsidRPr="0051687E" w:rsidRDefault="144BA2E7" w:rsidP="144BA2E7">
      <w:pPr>
        <w:pStyle w:val="ListParagraph"/>
        <w:numPr>
          <w:ilvl w:val="1"/>
          <w:numId w:val="2"/>
        </w:numPr>
        <w:ind w:left="720"/>
        <w:rPr>
          <w:rFonts w:ascii="Aptos Display" w:eastAsia="Aptos Display" w:hAnsi="Aptos Display" w:cs="Aptos Display"/>
          <w:sz w:val="24"/>
          <w:szCs w:val="24"/>
        </w:rPr>
      </w:pPr>
      <w:r w:rsidRPr="0051687E">
        <w:rPr>
          <w:rFonts w:ascii="Aptos Display" w:eastAsia="Aptos Display" w:hAnsi="Aptos Display" w:cs="Aptos Display"/>
          <w:b/>
          <w:sz w:val="24"/>
          <w:szCs w:val="24"/>
          <w:lang w:bidi="es-ES"/>
        </w:rPr>
        <w:t>Haga preguntas cuando el financiamiento sea complejo.</w:t>
      </w:r>
      <w:r w:rsidRPr="0051687E">
        <w:rPr>
          <w:rFonts w:ascii="Aptos Display" w:eastAsia="Aptos Display" w:hAnsi="Aptos Display" w:cs="Aptos Display"/>
          <w:sz w:val="24"/>
          <w:szCs w:val="24"/>
          <w:lang w:bidi="es-ES"/>
        </w:rPr>
        <w:t xml:space="preserve"> Si el CIL recibe varias adjudicaciones federales u otro financiamiento gubernamental, comuníquese con el Especialista en Gestión de Subvenciones de la ACL para recibir orientación. No identifique fondos estatales, locales u otros fondos federales como fondos no gubernamentales. </w:t>
      </w:r>
    </w:p>
    <w:p w14:paraId="18CFF87F" w14:textId="291DBE8E" w:rsidR="144BA2E7" w:rsidRPr="0051687E" w:rsidRDefault="144BA2E7" w:rsidP="144BA2E7">
      <w:pPr>
        <w:pStyle w:val="ListParagraph"/>
        <w:numPr>
          <w:ilvl w:val="0"/>
          <w:numId w:val="2"/>
        </w:numPr>
        <w:ind w:left="360"/>
        <w:rPr>
          <w:rFonts w:ascii="Aptos Display" w:eastAsia="Aptos Display" w:hAnsi="Aptos Display" w:cs="Aptos Display"/>
          <w:sz w:val="24"/>
          <w:szCs w:val="24"/>
        </w:rPr>
      </w:pPr>
      <w:r w:rsidRPr="0051687E">
        <w:rPr>
          <w:rFonts w:ascii="Aptos Display" w:eastAsia="Aptos Display" w:hAnsi="Aptos Display" w:cs="Aptos Display"/>
          <w:b/>
          <w:sz w:val="24"/>
          <w:szCs w:val="24"/>
          <w:lang w:bidi="es-ES"/>
        </w:rPr>
        <w:t>Complete la declaración de reconocimiento.</w:t>
      </w:r>
      <w:r w:rsidRPr="0051687E">
        <w:rPr>
          <w:rFonts w:ascii="Aptos Display" w:eastAsia="Aptos Display" w:hAnsi="Aptos Display" w:cs="Aptos Display"/>
          <w:sz w:val="24"/>
          <w:szCs w:val="24"/>
          <w:lang w:bidi="es-ES"/>
        </w:rPr>
        <w:t xml:space="preserve"> Reemplace cada campo entre corchetes con la información verificada del CIL. Elimine cualquier opción que no sea aplicable. </w:t>
      </w:r>
    </w:p>
    <w:p w14:paraId="32BAFDE9" w14:textId="71B0A9D5" w:rsidR="144BA2E7" w:rsidRPr="0051687E" w:rsidRDefault="144BA2E7" w:rsidP="144BA2E7">
      <w:pPr>
        <w:pStyle w:val="ListParagraph"/>
        <w:numPr>
          <w:ilvl w:val="0"/>
          <w:numId w:val="2"/>
        </w:numPr>
        <w:ind w:left="360"/>
        <w:rPr>
          <w:rFonts w:ascii="Aptos Display" w:eastAsia="Aptos Display" w:hAnsi="Aptos Display" w:cs="Aptos Display"/>
          <w:sz w:val="24"/>
          <w:szCs w:val="24"/>
        </w:rPr>
      </w:pPr>
      <w:r w:rsidRPr="0051687E">
        <w:rPr>
          <w:rFonts w:ascii="Aptos Display" w:eastAsia="Aptos Display" w:hAnsi="Aptos Display" w:cs="Aptos Display"/>
          <w:b/>
          <w:sz w:val="24"/>
          <w:szCs w:val="24"/>
          <w:lang w:bidi="es-ES"/>
        </w:rPr>
        <w:t>Coloque el reconocimiento en el sitio web.</w:t>
      </w:r>
      <w:r w:rsidRPr="0051687E">
        <w:rPr>
          <w:rFonts w:ascii="Aptos Display" w:eastAsia="Aptos Display" w:hAnsi="Aptos Display" w:cs="Aptos Display"/>
          <w:sz w:val="24"/>
          <w:szCs w:val="24"/>
          <w:lang w:bidi="es-ES"/>
        </w:rPr>
        <w:t xml:space="preserve"> Coloque el reconocimiento completo en un lugar donde los visitantes puedan encontrarlo con facilidad. Un pie de página coherente en el sitio web es apropiado cuando la misma financiación respalda todo el sitio web. Si una página describe un proyecto/actividad financiado por separado, incluya el reconocimiento aplicable al mismo. </w:t>
      </w:r>
    </w:p>
    <w:p w14:paraId="67F070C5" w14:textId="674FAD27" w:rsidR="144BA2E7" w:rsidRPr="0051687E" w:rsidRDefault="144BA2E7" w:rsidP="144BA2E7">
      <w:pPr>
        <w:pStyle w:val="ListParagraph"/>
        <w:numPr>
          <w:ilvl w:val="0"/>
          <w:numId w:val="2"/>
        </w:numPr>
        <w:ind w:left="360"/>
        <w:rPr>
          <w:rFonts w:ascii="Aptos Display" w:eastAsia="Aptos Display" w:hAnsi="Aptos Display" w:cs="Aptos Display"/>
          <w:sz w:val="24"/>
          <w:szCs w:val="24"/>
        </w:rPr>
      </w:pPr>
      <w:r w:rsidRPr="0051687E">
        <w:rPr>
          <w:rFonts w:ascii="Aptos Display" w:eastAsia="Aptos Display" w:hAnsi="Aptos Display" w:cs="Aptos Display"/>
          <w:b/>
          <w:sz w:val="24"/>
          <w:szCs w:val="24"/>
          <w:lang w:bidi="es-ES"/>
        </w:rPr>
        <w:t>Haga que la declaración sea accesible.</w:t>
      </w:r>
      <w:r w:rsidRPr="0051687E">
        <w:rPr>
          <w:rFonts w:ascii="Aptos Display" w:eastAsia="Aptos Display" w:hAnsi="Aptos Display" w:cs="Aptos Display"/>
          <w:sz w:val="24"/>
          <w:szCs w:val="24"/>
          <w:lang w:bidi="es-ES"/>
        </w:rPr>
        <w:t xml:space="preserve"> Utilice textos legibles y seleccionables con un contraste de color adecuado. Compruebe la información en dispositivos móviles y con un lector de pantalla. </w:t>
      </w:r>
    </w:p>
    <w:p w14:paraId="1FF144CA" w14:textId="4BFD7712" w:rsidR="144BA2E7" w:rsidRPr="0051687E" w:rsidRDefault="144BA2E7" w:rsidP="144BA2E7">
      <w:pPr>
        <w:pStyle w:val="ListParagraph"/>
        <w:numPr>
          <w:ilvl w:val="0"/>
          <w:numId w:val="2"/>
        </w:numPr>
        <w:ind w:left="360"/>
        <w:rPr>
          <w:rFonts w:ascii="Aptos Display" w:eastAsia="Aptos Display" w:hAnsi="Aptos Display" w:cs="Aptos Display"/>
          <w:sz w:val="24"/>
          <w:szCs w:val="24"/>
        </w:rPr>
      </w:pPr>
      <w:r w:rsidRPr="0051687E">
        <w:rPr>
          <w:rFonts w:ascii="Aptos Display" w:eastAsia="Aptos Display" w:hAnsi="Aptos Display" w:cs="Aptos Display"/>
          <w:b/>
          <w:sz w:val="24"/>
          <w:szCs w:val="24"/>
          <w:lang w:bidi="es-ES"/>
        </w:rPr>
        <w:t>Actualice otras comunicaciones cubiertas.</w:t>
      </w:r>
      <w:r w:rsidRPr="0051687E">
        <w:rPr>
          <w:rFonts w:ascii="Aptos Display" w:eastAsia="Aptos Display" w:hAnsi="Aptos Display" w:cs="Aptos Display"/>
          <w:sz w:val="24"/>
          <w:szCs w:val="24"/>
          <w:lang w:bidi="es-ES"/>
        </w:rPr>
        <w:t xml:space="preserve"> Agregue el reconocimiento a las publicaciones, presentaciones, comunicados de prensa, solicitudes y otras comunicaciones públicas aplicables. Una declaración en el sitio web no sustituye el reconocimiento requerido en esos materiales. </w:t>
      </w:r>
    </w:p>
    <w:p w14:paraId="7797E4D2" w14:textId="75B13FD8" w:rsidR="144BA2E7" w:rsidRPr="0051687E" w:rsidRDefault="144BA2E7" w:rsidP="144BA2E7">
      <w:pPr>
        <w:pStyle w:val="ListParagraph"/>
        <w:numPr>
          <w:ilvl w:val="0"/>
          <w:numId w:val="2"/>
        </w:numPr>
        <w:ind w:left="360"/>
        <w:rPr>
          <w:rFonts w:ascii="Aptos Display" w:eastAsia="Aptos Display" w:hAnsi="Aptos Display" w:cs="Aptos Display"/>
          <w:sz w:val="24"/>
          <w:szCs w:val="24"/>
        </w:rPr>
      </w:pPr>
      <w:r w:rsidRPr="0051687E">
        <w:rPr>
          <w:rFonts w:ascii="Aptos Display" w:eastAsia="Aptos Display" w:hAnsi="Aptos Display" w:cs="Aptos Display"/>
          <w:b/>
          <w:sz w:val="24"/>
          <w:szCs w:val="24"/>
          <w:lang w:bidi="es-ES"/>
        </w:rPr>
        <w:t>Revise y documente los cambios.</w:t>
      </w:r>
      <w:r w:rsidRPr="0051687E">
        <w:rPr>
          <w:rFonts w:ascii="Aptos Display" w:eastAsia="Aptos Display" w:hAnsi="Aptos Display" w:cs="Aptos Display"/>
          <w:sz w:val="24"/>
          <w:szCs w:val="24"/>
          <w:lang w:bidi="es-ES"/>
        </w:rPr>
        <w:t xml:space="preserve"> Revise la declaración después de cada adjudicación nueva o modificada, o siempre que cambie la financiación. Conserve una copia fechada de la declaración y de los cálculos utilizados para completarla.</w:t>
      </w:r>
    </w:p>
    <w:p w14:paraId="31D7484E" w14:textId="77777777" w:rsidR="00B06B57" w:rsidRPr="0051687E" w:rsidRDefault="144BA2E7" w:rsidP="144BA2E7">
      <w:pPr>
        <w:pStyle w:val="Heading1"/>
        <w:rPr>
          <w:rFonts w:ascii="Aptos Display" w:eastAsia="Aptos Display" w:hAnsi="Aptos Display" w:cs="Aptos Display"/>
          <w:sz w:val="36"/>
          <w:szCs w:val="36"/>
        </w:rPr>
      </w:pPr>
      <w:r w:rsidRPr="0051687E">
        <w:rPr>
          <w:rFonts w:ascii="Aptos Display" w:eastAsia="Aptos Display" w:hAnsi="Aptos Display" w:cs="Aptos Display"/>
          <w:sz w:val="36"/>
          <w:szCs w:val="36"/>
          <w:lang w:bidi="es-ES"/>
        </w:rPr>
        <w:t>Preguntas y fuentes oficiales</w:t>
      </w:r>
    </w:p>
    <w:p w14:paraId="2AFDAAFC" w14:textId="77777777" w:rsidR="00B06B57" w:rsidRPr="0051687E" w:rsidRDefault="144BA2E7" w:rsidP="144BA2E7">
      <w:pPr>
        <w:rPr>
          <w:rFonts w:ascii="Aptos Display" w:eastAsia="Aptos Display" w:hAnsi="Aptos Display" w:cs="Aptos Display"/>
          <w:sz w:val="24"/>
          <w:szCs w:val="24"/>
        </w:rPr>
      </w:pPr>
      <w:r w:rsidRPr="0051687E">
        <w:rPr>
          <w:rFonts w:ascii="Aptos Display" w:eastAsia="Aptos Display" w:hAnsi="Aptos Display" w:cs="Aptos Display"/>
          <w:sz w:val="24"/>
          <w:szCs w:val="24"/>
          <w:lang w:bidi="es-ES"/>
        </w:rPr>
        <w:t xml:space="preserve">Comuníquese con su especialista en gestión de subvenciones de la ACL para obtener información sobre la redacción específica de la adjudicación o preguntas sobre la financiación. Siga los requisitos de su </w:t>
      </w:r>
      <w:proofErr w:type="spellStart"/>
      <w:r w:rsidRPr="0051687E">
        <w:rPr>
          <w:rFonts w:ascii="Aptos Display" w:eastAsia="Aptos Display" w:hAnsi="Aptos Display" w:cs="Aptos Display"/>
          <w:sz w:val="24"/>
          <w:szCs w:val="24"/>
          <w:lang w:bidi="es-ES"/>
        </w:rPr>
        <w:t>NoA</w:t>
      </w:r>
      <w:proofErr w:type="spellEnd"/>
      <w:r w:rsidRPr="0051687E">
        <w:rPr>
          <w:rFonts w:ascii="Aptos Display" w:eastAsia="Aptos Display" w:hAnsi="Aptos Display" w:cs="Aptos Display"/>
          <w:sz w:val="24"/>
          <w:szCs w:val="24"/>
          <w:lang w:bidi="es-ES"/>
        </w:rPr>
        <w:t>.  1]</w:t>
      </w:r>
    </w:p>
    <w:p w14:paraId="6095466F" w14:textId="77777777" w:rsidR="00B06B57" w:rsidRPr="0051687E" w:rsidRDefault="144BA2E7" w:rsidP="144BA2E7">
      <w:pPr>
        <w:spacing w:after="40" w:line="240" w:lineRule="auto"/>
        <w:rPr>
          <w:rFonts w:ascii="Aptos Display" w:eastAsia="Aptos Display" w:hAnsi="Aptos Display" w:cs="Aptos Display"/>
        </w:rPr>
      </w:pPr>
      <w:r w:rsidRPr="0051687E">
        <w:rPr>
          <w:rFonts w:ascii="Aptos Display" w:eastAsia="Aptos Display" w:hAnsi="Aptos Display" w:cs="Aptos Display"/>
          <w:lang w:bidi="es-ES"/>
        </w:rPr>
        <w:t xml:space="preserve">[1] </w:t>
      </w:r>
      <w:hyperlink r:id="rId11">
        <w:r w:rsidRPr="0051687E">
          <w:rPr>
            <w:rFonts w:ascii="Aptos Display" w:eastAsia="Aptos Display" w:hAnsi="Aptos Display" w:cs="Aptos Display"/>
            <w:color w:val="174B74"/>
            <w:u w:val="single"/>
            <w:lang w:bidi="es-ES"/>
          </w:rPr>
          <w:t>ACL Gestión de una subvención</w:t>
        </w:r>
      </w:hyperlink>
      <w:r w:rsidRPr="0051687E">
        <w:rPr>
          <w:rFonts w:ascii="Aptos Display" w:eastAsia="Aptos Display" w:hAnsi="Aptos Display" w:cs="Aptos Display"/>
          <w:lang w:bidi="es-ES"/>
        </w:rPr>
        <w:t xml:space="preserve"> — véase "Descargo de responsabilidad del producto del beneficiario—OBLIGATORIO" y "La enmienda Stevens".</w:t>
      </w:r>
    </w:p>
    <w:p w14:paraId="4B9106CA" w14:textId="3011EFEC" w:rsidR="00857486" w:rsidRPr="0051687E" w:rsidRDefault="144BA2E7" w:rsidP="144BA2E7">
      <w:pPr>
        <w:spacing w:after="0" w:line="240" w:lineRule="auto"/>
        <w:rPr>
          <w:rFonts w:ascii="Aptos Display" w:eastAsia="Aptos Display" w:hAnsi="Aptos Display" w:cs="Aptos Display"/>
        </w:rPr>
      </w:pPr>
      <w:r w:rsidRPr="0051687E">
        <w:rPr>
          <w:rFonts w:ascii="Aptos Display" w:eastAsia="Aptos Display" w:hAnsi="Aptos Display" w:cs="Aptos Display"/>
          <w:lang w:bidi="es-ES"/>
        </w:rPr>
        <w:t xml:space="preserve">[2] </w:t>
      </w:r>
      <w:hyperlink r:id="rId12" w:anchor="page=57">
        <w:r w:rsidRPr="0051687E">
          <w:rPr>
            <w:rFonts w:ascii="Aptos Display" w:eastAsia="Aptos Display" w:hAnsi="Aptos Display" w:cs="Aptos Display"/>
            <w:color w:val="174B74"/>
            <w:u w:val="single"/>
            <w:lang w:bidi="es-ES"/>
          </w:rPr>
          <w:t>Declaración de política de subvenciones de HHS</w:t>
        </w:r>
      </w:hyperlink>
      <w:r w:rsidRPr="0051687E">
        <w:rPr>
          <w:rFonts w:ascii="Aptos Display" w:eastAsia="Aptos Display" w:hAnsi="Aptos Display" w:cs="Aptos Display"/>
          <w:lang w:bidi="es-ES"/>
        </w:rPr>
        <w:t>, secciones 3.4.12.2–3.4.12.3. Septiembre de 2026</w:t>
      </w:r>
    </w:p>
    <w:p w14:paraId="1FF99FF1" w14:textId="0C18CCD5" w:rsidR="144BA2E7" w:rsidRPr="0051687E" w:rsidRDefault="144BA2E7" w:rsidP="144BA2E7">
      <w:pPr>
        <w:spacing w:after="0" w:line="240" w:lineRule="auto"/>
        <w:rPr>
          <w:rFonts w:ascii="Aptos Display" w:eastAsia="Aptos Display" w:hAnsi="Aptos Display" w:cs="Aptos Display"/>
        </w:rPr>
      </w:pPr>
      <w:r w:rsidRPr="0051687E">
        <w:rPr>
          <w:rFonts w:ascii="Aptos Display" w:eastAsia="Aptos Display" w:hAnsi="Aptos Display" w:cs="Aptos Display"/>
          <w:lang w:bidi="es-ES"/>
        </w:rPr>
        <w:t xml:space="preserve">[3] </w:t>
      </w:r>
      <w:hyperlink r:id="rId13">
        <w:r w:rsidRPr="0051687E">
          <w:rPr>
            <w:rStyle w:val="Hyperlink"/>
            <w:rFonts w:ascii="Aptos Display" w:eastAsia="Aptos Display" w:hAnsi="Aptos Display" w:cs="Aptos Display"/>
            <w:lang w:bidi="es-ES"/>
          </w:rPr>
          <w:t>Centro de información y asistencia técnica para consejos sobre discapacidades del desarrollo</w:t>
        </w:r>
      </w:hyperlink>
      <w:r w:rsidRPr="0051687E">
        <w:rPr>
          <w:rFonts w:ascii="Aptos Display" w:eastAsia="Aptos Display" w:hAnsi="Aptos Display" w:cs="Aptos Display"/>
          <w:lang w:bidi="es-ES"/>
        </w:rPr>
        <w:t xml:space="preserve">. </w:t>
      </w:r>
      <w:r w:rsidRPr="0051687E">
        <w:rPr>
          <w:rFonts w:ascii="Aptos Display" w:eastAsia="Aptos Display" w:hAnsi="Aptos Display" w:cs="Aptos Display"/>
          <w:i/>
          <w:lang w:bidi="es-ES"/>
        </w:rPr>
        <w:t>La Enmienda Stevens y los consejos sobre discapacidades del desarrollo</w:t>
      </w:r>
      <w:r w:rsidRPr="0051687E">
        <w:rPr>
          <w:rFonts w:ascii="Aptos Display" w:eastAsia="Aptos Display" w:hAnsi="Aptos Display" w:cs="Aptos Display"/>
          <w:lang w:bidi="es-ES"/>
        </w:rPr>
        <w:t>. Noviembre de 2023.</w:t>
      </w:r>
    </w:p>
    <w:p w14:paraId="61AD368B" w14:textId="77777777" w:rsidR="00736A1F" w:rsidRPr="0051687E" w:rsidRDefault="144BA2E7" w:rsidP="144BA2E7">
      <w:pPr>
        <w:pStyle w:val="Heading1"/>
        <w:rPr>
          <w:rFonts w:ascii="Aptos Display" w:eastAsia="Aptos Display" w:hAnsi="Aptos Display" w:cs="Aptos Display"/>
        </w:rPr>
      </w:pPr>
      <w:r w:rsidRPr="0051687E">
        <w:rPr>
          <w:rStyle w:val="Heading1Char"/>
          <w:rFonts w:ascii="Aptos Display" w:eastAsia="Aptos Display" w:hAnsi="Aptos Display" w:cs="Aptos Display"/>
          <w:b/>
          <w:sz w:val="36"/>
          <w:szCs w:val="36"/>
          <w:lang w:val="es-US" w:bidi="es-ES"/>
        </w:rPr>
        <w:t>Centro de Capacitación y Asistencia Técnica de Vida Independiente</w:t>
      </w:r>
      <w:r w:rsidRPr="0051687E">
        <w:rPr>
          <w:rFonts w:ascii="Aptos Display" w:eastAsia="Aptos Display" w:hAnsi="Aptos Display" w:cs="Aptos Display"/>
          <w:b w:val="0"/>
          <w:lang w:bidi="es-ES"/>
        </w:rPr>
        <w:br/>
        <w:t>Instituto Rural para Comunidades Inclusivas de la Universidad de Montana</w:t>
      </w:r>
      <w:r w:rsidRPr="0051687E">
        <w:rPr>
          <w:rFonts w:ascii="Aptos Display" w:eastAsia="Aptos Display" w:hAnsi="Aptos Display" w:cs="Aptos Display"/>
          <w:b w:val="0"/>
          <w:lang w:bidi="es-ES"/>
        </w:rPr>
        <w:br/>
        <w:t>📞 (406) 243-5300</w:t>
      </w:r>
      <w:r w:rsidRPr="0051687E">
        <w:rPr>
          <w:rFonts w:ascii="Aptos Display" w:eastAsia="Aptos Display" w:hAnsi="Aptos Display" w:cs="Aptos Display"/>
          <w:b w:val="0"/>
          <w:lang w:bidi="es-ES"/>
        </w:rPr>
        <w:br/>
        <w:t xml:space="preserve">✉️ </w:t>
      </w:r>
      <w:hyperlink r:id="rId14">
        <w:r w:rsidRPr="0051687E">
          <w:rPr>
            <w:rStyle w:val="Hyperlink"/>
            <w:rFonts w:ascii="Aptos Display" w:eastAsia="Aptos Display" w:hAnsi="Aptos Display" w:cs="Aptos Display"/>
            <w:b w:val="0"/>
            <w:lang w:bidi="es-ES"/>
          </w:rPr>
          <w:t>ilttacenter@mso.umt.edu</w:t>
        </w:r>
      </w:hyperlink>
      <w:r w:rsidRPr="0051687E">
        <w:rPr>
          <w:rFonts w:ascii="Aptos Display" w:eastAsia="Aptos Display" w:hAnsi="Aptos Display" w:cs="Aptos Display"/>
          <w:b w:val="0"/>
          <w:lang w:bidi="es-ES"/>
        </w:rPr>
        <w:t xml:space="preserve"> </w:t>
      </w:r>
      <w:r w:rsidRPr="0051687E">
        <w:rPr>
          <w:rFonts w:ascii="Aptos Display" w:eastAsia="Aptos Display" w:hAnsi="Aptos Display" w:cs="Aptos Display"/>
          <w:b w:val="0"/>
          <w:lang w:bidi="es-ES"/>
        </w:rPr>
        <w:br/>
        <w:t xml:space="preserve">🌐 </w:t>
      </w:r>
      <w:hyperlink r:id="rId15">
        <w:r w:rsidRPr="0051687E">
          <w:rPr>
            <w:rStyle w:val="Hyperlink"/>
            <w:rFonts w:ascii="Aptos Display" w:eastAsia="Aptos Display" w:hAnsi="Aptos Display" w:cs="Aptos Display"/>
            <w:b w:val="0"/>
            <w:lang w:bidi="es-ES"/>
          </w:rPr>
          <w:t>www.ILTTACenter.org</w:t>
        </w:r>
      </w:hyperlink>
    </w:p>
    <w:p w14:paraId="345B47E0" w14:textId="42DBDCB7" w:rsidR="000F2AFC" w:rsidRPr="0051687E" w:rsidRDefault="144BA2E7" w:rsidP="144BA2E7">
      <w:pPr>
        <w:rPr>
          <w:rFonts w:ascii="Aptos Display" w:eastAsia="Aptos Display" w:hAnsi="Aptos Display" w:cs="Aptos Display"/>
          <w:i/>
          <w:iCs/>
        </w:rPr>
      </w:pPr>
      <w:r w:rsidRPr="0051687E">
        <w:rPr>
          <w:rFonts w:ascii="Aptos Display" w:eastAsia="Aptos Display" w:hAnsi="Aptos Display" w:cs="Aptos Display"/>
          <w:i/>
          <w:lang w:bidi="es-ES"/>
        </w:rPr>
        <w:t>El Centro de Capacitación y Asistencia Técnica de Vida Independiente está asignado al Departamento de Salud y Servicios Humanos de los EE. UU., Administración de Vida Comunitaria.</w:t>
      </w:r>
    </w:p>
    <w:p w14:paraId="6A11BB58" w14:textId="77777777" w:rsidR="00BB6C46" w:rsidRPr="00081A2A" w:rsidRDefault="00BB6C46">
      <w:pPr>
        <w:rPr>
          <w:rFonts w:ascii="Aptos Display" w:eastAsia="Aptos Display" w:hAnsi="Aptos Display" w:cs="Aptos Display"/>
          <w:i/>
          <w:iCs/>
        </w:rPr>
      </w:pPr>
    </w:p>
    <w:sectPr w:rsidR="00BB6C46" w:rsidRPr="00081A2A" w:rsidSect="000F2AFC">
      <w:headerReference w:type="even" r:id="rId16"/>
      <w:headerReference w:type="default" r:id="rId17"/>
      <w:footerReference w:type="even" r:id="rId18"/>
      <w:footerReference w:type="default" r:id="rId19"/>
      <w:headerReference w:type="first" r:id="rId20"/>
      <w:footerReference w:type="first" r:id="rId21"/>
      <w:pgSz w:w="12240" w:h="15840"/>
      <w:pgMar w:top="792" w:right="936" w:bottom="792" w:left="93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A88DF" w14:textId="77777777" w:rsidR="00BF32D7" w:rsidRPr="0051687E" w:rsidRDefault="00BF32D7" w:rsidP="005B4E63">
      <w:pPr>
        <w:spacing w:after="0" w:line="240" w:lineRule="auto"/>
      </w:pPr>
      <w:r w:rsidRPr="0051687E">
        <w:separator/>
      </w:r>
    </w:p>
  </w:endnote>
  <w:endnote w:type="continuationSeparator" w:id="0">
    <w:p w14:paraId="1B6B947A" w14:textId="77777777" w:rsidR="00BF32D7" w:rsidRPr="0051687E" w:rsidRDefault="00BF32D7" w:rsidP="005B4E63">
      <w:pPr>
        <w:spacing w:after="0" w:line="240" w:lineRule="auto"/>
      </w:pPr>
      <w:r w:rsidRPr="005168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F8D39" w14:textId="77777777" w:rsidR="00684DA1" w:rsidRDefault="00684D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B09AB" w14:textId="2E388E0C" w:rsidR="00F06489" w:rsidRPr="00684DA1" w:rsidRDefault="00684DA1" w:rsidP="00684DA1">
    <w:pPr>
      <w:pStyle w:val="Footer"/>
    </w:pPr>
    <w:r>
      <w:t>Centro ILT&amp;TA</w:t>
    </w:r>
    <w:r>
      <w:tab/>
    </w:r>
    <w:r>
      <w:tab/>
    </w:r>
    <w:r>
      <w:tab/>
    </w:r>
    <w:r w:rsidRPr="00684DA1">
      <w:rPr>
        <w:i/>
        <w:iCs/>
      </w:rPr>
      <w:t>Reconocimientos de financiación de ACL y la Enmienda</w:t>
    </w:r>
    <w:r>
      <w:tab/>
    </w:r>
    <w:r>
      <w:tab/>
    </w:r>
    <w:r>
      <w:tab/>
    </w:r>
    <w:r w:rsidRPr="00684DA1">
      <w:t>Página</w:t>
    </w:r>
    <w:r>
      <w:t xml:space="preserve"> </w:t>
    </w:r>
    <w:sdt>
      <w:sdtPr>
        <w:id w:val="-52317487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11EEB" w14:textId="4C761535" w:rsidR="00E96B14" w:rsidRDefault="00E96B14">
    <w:pPr>
      <w:pStyle w:val="Footer"/>
      <w:jc w:val="right"/>
    </w:pPr>
    <w:r>
      <w:t xml:space="preserve"> </w:t>
    </w:r>
    <w:r w:rsidR="00684DA1">
      <w:t xml:space="preserve">Centro </w:t>
    </w:r>
    <w:r>
      <w:t>ILT&amp;TA</w:t>
    </w:r>
    <w:r w:rsidR="00684DA1">
      <w:tab/>
    </w:r>
    <w:r w:rsidR="00684DA1">
      <w:tab/>
    </w:r>
    <w:r w:rsidR="00684DA1">
      <w:tab/>
    </w:r>
    <w:r w:rsidR="00684DA1" w:rsidRPr="00684DA1">
      <w:rPr>
        <w:i/>
        <w:iCs/>
      </w:rPr>
      <w:t>Reconocimientos de financiación de ACL y la Enmienda</w:t>
    </w:r>
    <w:r w:rsidR="00684DA1" w:rsidRPr="00684DA1">
      <w:rPr>
        <w:i/>
        <w:iCs/>
      </w:rPr>
      <w:tab/>
    </w:r>
    <w:r w:rsidR="00684DA1">
      <w:tab/>
    </w:r>
    <w:r w:rsidR="00684DA1">
      <w:tab/>
    </w:r>
    <w:r w:rsidR="00684DA1" w:rsidRPr="00684DA1">
      <w:t>Página</w:t>
    </w:r>
    <w:r>
      <w:t xml:space="preserve"> </w:t>
    </w:r>
    <w:sdt>
      <w:sdtPr>
        <w:id w:val="-45803964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C49BEF8" w14:textId="2D5B71EE" w:rsidR="000F2AFC" w:rsidRPr="00415089" w:rsidRDefault="000F2AFC" w:rsidP="00415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994FB" w14:textId="77777777" w:rsidR="00BF32D7" w:rsidRPr="0051687E" w:rsidRDefault="00BF32D7" w:rsidP="005B4E63">
      <w:pPr>
        <w:spacing w:after="0" w:line="240" w:lineRule="auto"/>
      </w:pPr>
      <w:r w:rsidRPr="0051687E">
        <w:separator/>
      </w:r>
    </w:p>
  </w:footnote>
  <w:footnote w:type="continuationSeparator" w:id="0">
    <w:p w14:paraId="3B29AA5C" w14:textId="77777777" w:rsidR="00BF32D7" w:rsidRPr="0051687E" w:rsidRDefault="00BF32D7" w:rsidP="005B4E63">
      <w:pPr>
        <w:spacing w:after="0" w:line="240" w:lineRule="auto"/>
      </w:pPr>
      <w:r w:rsidRPr="005168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A65A7" w14:textId="77777777" w:rsidR="00684DA1" w:rsidRDefault="00684D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55"/>
      <w:gridCol w:w="3455"/>
      <w:gridCol w:w="3455"/>
    </w:tblGrid>
    <w:tr w:rsidR="144BA2E7" w:rsidRPr="0051687E" w14:paraId="6270A0B0" w14:textId="77777777" w:rsidTr="144BA2E7">
      <w:trPr>
        <w:trHeight w:val="300"/>
      </w:trPr>
      <w:tc>
        <w:tcPr>
          <w:tcW w:w="3455" w:type="dxa"/>
        </w:tcPr>
        <w:p w14:paraId="46E4FB3A" w14:textId="7C75303D" w:rsidR="144BA2E7" w:rsidRPr="0051687E" w:rsidRDefault="144BA2E7" w:rsidP="144BA2E7">
          <w:pPr>
            <w:pStyle w:val="Header"/>
            <w:ind w:left="-115"/>
          </w:pPr>
        </w:p>
      </w:tc>
      <w:tc>
        <w:tcPr>
          <w:tcW w:w="3455" w:type="dxa"/>
        </w:tcPr>
        <w:p w14:paraId="451FE185" w14:textId="2294EE2D" w:rsidR="144BA2E7" w:rsidRPr="0051687E" w:rsidRDefault="144BA2E7" w:rsidP="144BA2E7">
          <w:pPr>
            <w:pStyle w:val="Header"/>
            <w:jc w:val="center"/>
          </w:pPr>
        </w:p>
      </w:tc>
      <w:tc>
        <w:tcPr>
          <w:tcW w:w="3455" w:type="dxa"/>
        </w:tcPr>
        <w:p w14:paraId="0D990518" w14:textId="78BF3B53" w:rsidR="144BA2E7" w:rsidRPr="0051687E" w:rsidRDefault="144BA2E7" w:rsidP="144BA2E7">
          <w:pPr>
            <w:pStyle w:val="Header"/>
            <w:ind w:right="-115"/>
            <w:jc w:val="right"/>
          </w:pPr>
        </w:p>
      </w:tc>
    </w:tr>
  </w:tbl>
  <w:p w14:paraId="70C0963C" w14:textId="0F2C818E" w:rsidR="144BA2E7" w:rsidRPr="0051687E" w:rsidRDefault="144BA2E7" w:rsidP="144BA2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82A59" w14:textId="010C2808" w:rsidR="144BA2E7" w:rsidRPr="0051687E" w:rsidRDefault="00CC1677" w:rsidP="144BA2E7">
    <w:pPr>
      <w:pStyle w:val="Header"/>
    </w:pPr>
    <w:r>
      <w:rPr>
        <w:noProof/>
      </w:rPr>
      <w:drawing>
        <wp:inline distT="0" distB="0" distL="0" distR="0" wp14:anchorId="4A6872BA" wp14:editId="0C9DB4E7">
          <wp:extent cx="2103120" cy="935006"/>
          <wp:effectExtent l="0" t="0" r="0" b="0"/>
          <wp:docPr id="1221545005" name="Picture 1" descr="Logotipo del Centro de Capacitación y Asistencia Técnica para la Vida Independiente (ILT&amp;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45005" name="Picture 1" descr="Logotipo del Centro de Capacitación y Asistencia Técnica para la Vida Independiente (ILT&amp;TA)"/>
                  <pic:cNvPicPr/>
                </pic:nvPicPr>
                <pic:blipFill>
                  <a:blip r:embed="rId1"/>
                  <a:stretch>
                    <a:fillRect/>
                  </a:stretch>
                </pic:blipFill>
                <pic:spPr>
                  <a:xfrm>
                    <a:off x="0" y="0"/>
                    <a:ext cx="2115434" cy="9404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F55EC98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E4E000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6CE4AB"/>
    <w:multiLevelType w:val="hybridMultilevel"/>
    <w:tmpl w:val="E4A2D55E"/>
    <w:lvl w:ilvl="0" w:tplc="256CFDDA">
      <w:start w:val="1"/>
      <w:numFmt w:val="bullet"/>
      <w:lvlText w:val=""/>
      <w:lvlJc w:val="left"/>
      <w:pPr>
        <w:ind w:left="360" w:hanging="360"/>
      </w:pPr>
      <w:rPr>
        <w:rFonts w:ascii="Symbol" w:hAnsi="Symbol" w:hint="default"/>
      </w:rPr>
    </w:lvl>
    <w:lvl w:ilvl="1" w:tplc="3A9A8C28">
      <w:start w:val="1"/>
      <w:numFmt w:val="bullet"/>
      <w:lvlText w:val="o"/>
      <w:lvlJc w:val="left"/>
      <w:pPr>
        <w:ind w:left="1080" w:hanging="360"/>
      </w:pPr>
      <w:rPr>
        <w:rFonts w:ascii="Courier New" w:hAnsi="Courier New" w:hint="default"/>
      </w:rPr>
    </w:lvl>
    <w:lvl w:ilvl="2" w:tplc="64E07E54">
      <w:start w:val="1"/>
      <w:numFmt w:val="bullet"/>
      <w:lvlText w:val=""/>
      <w:lvlJc w:val="left"/>
      <w:pPr>
        <w:ind w:left="1800" w:hanging="360"/>
      </w:pPr>
      <w:rPr>
        <w:rFonts w:ascii="Wingdings" w:hAnsi="Wingdings" w:hint="default"/>
      </w:rPr>
    </w:lvl>
    <w:lvl w:ilvl="3" w:tplc="D4542638">
      <w:start w:val="1"/>
      <w:numFmt w:val="bullet"/>
      <w:lvlText w:val=""/>
      <w:lvlJc w:val="left"/>
      <w:pPr>
        <w:ind w:left="2520" w:hanging="360"/>
      </w:pPr>
      <w:rPr>
        <w:rFonts w:ascii="Symbol" w:hAnsi="Symbol" w:hint="default"/>
      </w:rPr>
    </w:lvl>
    <w:lvl w:ilvl="4" w:tplc="B284F226">
      <w:start w:val="1"/>
      <w:numFmt w:val="bullet"/>
      <w:lvlText w:val="o"/>
      <w:lvlJc w:val="left"/>
      <w:pPr>
        <w:ind w:left="3240" w:hanging="360"/>
      </w:pPr>
      <w:rPr>
        <w:rFonts w:ascii="Courier New" w:hAnsi="Courier New" w:hint="default"/>
      </w:rPr>
    </w:lvl>
    <w:lvl w:ilvl="5" w:tplc="2ADA5E8C">
      <w:start w:val="1"/>
      <w:numFmt w:val="bullet"/>
      <w:lvlText w:val=""/>
      <w:lvlJc w:val="left"/>
      <w:pPr>
        <w:ind w:left="3960" w:hanging="360"/>
      </w:pPr>
      <w:rPr>
        <w:rFonts w:ascii="Wingdings" w:hAnsi="Wingdings" w:hint="default"/>
      </w:rPr>
    </w:lvl>
    <w:lvl w:ilvl="6" w:tplc="9FC00DA2">
      <w:start w:val="1"/>
      <w:numFmt w:val="bullet"/>
      <w:lvlText w:val=""/>
      <w:lvlJc w:val="left"/>
      <w:pPr>
        <w:ind w:left="4680" w:hanging="360"/>
      </w:pPr>
      <w:rPr>
        <w:rFonts w:ascii="Symbol" w:hAnsi="Symbol" w:hint="default"/>
      </w:rPr>
    </w:lvl>
    <w:lvl w:ilvl="7" w:tplc="52200882">
      <w:start w:val="1"/>
      <w:numFmt w:val="bullet"/>
      <w:lvlText w:val="o"/>
      <w:lvlJc w:val="left"/>
      <w:pPr>
        <w:ind w:left="5400" w:hanging="360"/>
      </w:pPr>
      <w:rPr>
        <w:rFonts w:ascii="Courier New" w:hAnsi="Courier New" w:hint="default"/>
      </w:rPr>
    </w:lvl>
    <w:lvl w:ilvl="8" w:tplc="CD98F83A">
      <w:start w:val="1"/>
      <w:numFmt w:val="bullet"/>
      <w:lvlText w:val=""/>
      <w:lvlJc w:val="left"/>
      <w:pPr>
        <w:ind w:left="6120" w:hanging="360"/>
      </w:pPr>
      <w:rPr>
        <w:rFonts w:ascii="Wingdings" w:hAnsi="Wingdings" w:hint="default"/>
      </w:rPr>
    </w:lvl>
  </w:abstractNum>
  <w:abstractNum w:abstractNumId="10" w15:restartNumberingAfterBreak="0">
    <w:nsid w:val="15196DFC"/>
    <w:multiLevelType w:val="hybridMultilevel"/>
    <w:tmpl w:val="422CE918"/>
    <w:lvl w:ilvl="0" w:tplc="D78CA544">
      <w:start w:val="1"/>
      <w:numFmt w:val="bullet"/>
      <w:lvlText w:val=""/>
      <w:lvlJc w:val="left"/>
      <w:pPr>
        <w:ind w:left="360" w:hanging="360"/>
      </w:pPr>
      <w:rPr>
        <w:rFonts w:ascii="Symbol" w:hAnsi="Symbol" w:hint="default"/>
      </w:rPr>
    </w:lvl>
    <w:lvl w:ilvl="1" w:tplc="CCB6DBC8">
      <w:start w:val="1"/>
      <w:numFmt w:val="bullet"/>
      <w:lvlText w:val="o"/>
      <w:lvlJc w:val="left"/>
      <w:pPr>
        <w:ind w:left="1080" w:hanging="360"/>
      </w:pPr>
      <w:rPr>
        <w:rFonts w:ascii="Courier New" w:hAnsi="Courier New" w:hint="default"/>
      </w:rPr>
    </w:lvl>
    <w:lvl w:ilvl="2" w:tplc="3498008C">
      <w:start w:val="1"/>
      <w:numFmt w:val="bullet"/>
      <w:lvlText w:val=""/>
      <w:lvlJc w:val="left"/>
      <w:pPr>
        <w:ind w:left="1800" w:hanging="360"/>
      </w:pPr>
      <w:rPr>
        <w:rFonts w:ascii="Wingdings" w:hAnsi="Wingdings" w:hint="default"/>
      </w:rPr>
    </w:lvl>
    <w:lvl w:ilvl="3" w:tplc="6E040D5E">
      <w:start w:val="1"/>
      <w:numFmt w:val="bullet"/>
      <w:lvlText w:val=""/>
      <w:lvlJc w:val="left"/>
      <w:pPr>
        <w:ind w:left="2520" w:hanging="360"/>
      </w:pPr>
      <w:rPr>
        <w:rFonts w:ascii="Symbol" w:hAnsi="Symbol" w:hint="default"/>
      </w:rPr>
    </w:lvl>
    <w:lvl w:ilvl="4" w:tplc="293A0688">
      <w:start w:val="1"/>
      <w:numFmt w:val="bullet"/>
      <w:lvlText w:val="o"/>
      <w:lvlJc w:val="left"/>
      <w:pPr>
        <w:ind w:left="3240" w:hanging="360"/>
      </w:pPr>
      <w:rPr>
        <w:rFonts w:ascii="Courier New" w:hAnsi="Courier New" w:hint="default"/>
      </w:rPr>
    </w:lvl>
    <w:lvl w:ilvl="5" w:tplc="0FA8106C">
      <w:start w:val="1"/>
      <w:numFmt w:val="bullet"/>
      <w:lvlText w:val=""/>
      <w:lvlJc w:val="left"/>
      <w:pPr>
        <w:ind w:left="3960" w:hanging="360"/>
      </w:pPr>
      <w:rPr>
        <w:rFonts w:ascii="Wingdings" w:hAnsi="Wingdings" w:hint="default"/>
      </w:rPr>
    </w:lvl>
    <w:lvl w:ilvl="6" w:tplc="5C14E8B6">
      <w:start w:val="1"/>
      <w:numFmt w:val="bullet"/>
      <w:lvlText w:val=""/>
      <w:lvlJc w:val="left"/>
      <w:pPr>
        <w:ind w:left="4680" w:hanging="360"/>
      </w:pPr>
      <w:rPr>
        <w:rFonts w:ascii="Symbol" w:hAnsi="Symbol" w:hint="default"/>
      </w:rPr>
    </w:lvl>
    <w:lvl w:ilvl="7" w:tplc="328451E8">
      <w:start w:val="1"/>
      <w:numFmt w:val="bullet"/>
      <w:lvlText w:val="o"/>
      <w:lvlJc w:val="left"/>
      <w:pPr>
        <w:ind w:left="5400" w:hanging="360"/>
      </w:pPr>
      <w:rPr>
        <w:rFonts w:ascii="Courier New" w:hAnsi="Courier New" w:hint="default"/>
      </w:rPr>
    </w:lvl>
    <w:lvl w:ilvl="8" w:tplc="AFD61A36">
      <w:start w:val="1"/>
      <w:numFmt w:val="bullet"/>
      <w:lvlText w:val=""/>
      <w:lvlJc w:val="left"/>
      <w:pPr>
        <w:ind w:left="6120" w:hanging="360"/>
      </w:pPr>
      <w:rPr>
        <w:rFonts w:ascii="Wingdings" w:hAnsi="Wingdings" w:hint="default"/>
      </w:rPr>
    </w:lvl>
  </w:abstractNum>
  <w:abstractNum w:abstractNumId="11" w15:restartNumberingAfterBreak="0">
    <w:nsid w:val="30D37524"/>
    <w:multiLevelType w:val="hybridMultilevel"/>
    <w:tmpl w:val="06486920"/>
    <w:lvl w:ilvl="0" w:tplc="4A0C19AC">
      <w:start w:val="1"/>
      <w:numFmt w:val="decimal"/>
      <w:lvlText w:val="%1."/>
      <w:lvlJc w:val="left"/>
      <w:pPr>
        <w:ind w:left="720" w:hanging="360"/>
      </w:pPr>
    </w:lvl>
    <w:lvl w:ilvl="1" w:tplc="1D8CCA6C">
      <w:start w:val="1"/>
      <w:numFmt w:val="lowerLetter"/>
      <w:lvlText w:val="%2."/>
      <w:lvlJc w:val="left"/>
      <w:pPr>
        <w:ind w:left="1440" w:hanging="360"/>
      </w:pPr>
    </w:lvl>
    <w:lvl w:ilvl="2" w:tplc="39EC8174">
      <w:start w:val="1"/>
      <w:numFmt w:val="lowerRoman"/>
      <w:lvlText w:val="%3."/>
      <w:lvlJc w:val="right"/>
      <w:pPr>
        <w:ind w:left="2160" w:hanging="180"/>
      </w:pPr>
    </w:lvl>
    <w:lvl w:ilvl="3" w:tplc="A852EBAC">
      <w:start w:val="1"/>
      <w:numFmt w:val="decimal"/>
      <w:lvlText w:val="%4."/>
      <w:lvlJc w:val="left"/>
      <w:pPr>
        <w:ind w:left="2880" w:hanging="360"/>
      </w:pPr>
    </w:lvl>
    <w:lvl w:ilvl="4" w:tplc="ACF6EEFA">
      <w:start w:val="1"/>
      <w:numFmt w:val="lowerLetter"/>
      <w:lvlText w:val="%5."/>
      <w:lvlJc w:val="left"/>
      <w:pPr>
        <w:ind w:left="3600" w:hanging="360"/>
      </w:pPr>
    </w:lvl>
    <w:lvl w:ilvl="5" w:tplc="95CAFB4E">
      <w:start w:val="1"/>
      <w:numFmt w:val="lowerRoman"/>
      <w:lvlText w:val="%6."/>
      <w:lvlJc w:val="right"/>
      <w:pPr>
        <w:ind w:left="4320" w:hanging="180"/>
      </w:pPr>
    </w:lvl>
    <w:lvl w:ilvl="6" w:tplc="78E0A9F2">
      <w:start w:val="1"/>
      <w:numFmt w:val="decimal"/>
      <w:lvlText w:val="%7."/>
      <w:lvlJc w:val="left"/>
      <w:pPr>
        <w:ind w:left="5040" w:hanging="360"/>
      </w:pPr>
    </w:lvl>
    <w:lvl w:ilvl="7" w:tplc="33000C98">
      <w:start w:val="1"/>
      <w:numFmt w:val="lowerLetter"/>
      <w:lvlText w:val="%8."/>
      <w:lvlJc w:val="left"/>
      <w:pPr>
        <w:ind w:left="5760" w:hanging="360"/>
      </w:pPr>
    </w:lvl>
    <w:lvl w:ilvl="8" w:tplc="7FAC6C20">
      <w:start w:val="1"/>
      <w:numFmt w:val="lowerRoman"/>
      <w:lvlText w:val="%9."/>
      <w:lvlJc w:val="right"/>
      <w:pPr>
        <w:ind w:left="6480" w:hanging="180"/>
      </w:pPr>
    </w:lvl>
  </w:abstractNum>
  <w:abstractNum w:abstractNumId="12" w15:restartNumberingAfterBreak="0">
    <w:nsid w:val="4EE5536F"/>
    <w:multiLevelType w:val="hybridMultilevel"/>
    <w:tmpl w:val="5DC2782C"/>
    <w:lvl w:ilvl="0" w:tplc="C682DC90">
      <w:start w:val="1"/>
      <w:numFmt w:val="bullet"/>
      <w:lvlText w:val=""/>
      <w:lvlJc w:val="left"/>
      <w:pPr>
        <w:ind w:left="720" w:hanging="360"/>
      </w:pPr>
      <w:rPr>
        <w:rFonts w:ascii="Symbol" w:hAnsi="Symbol" w:hint="default"/>
      </w:rPr>
    </w:lvl>
    <w:lvl w:ilvl="1" w:tplc="16647B6A">
      <w:start w:val="1"/>
      <w:numFmt w:val="bullet"/>
      <w:lvlText w:val="o"/>
      <w:lvlJc w:val="left"/>
      <w:pPr>
        <w:ind w:left="1440" w:hanging="360"/>
      </w:pPr>
      <w:rPr>
        <w:rFonts w:ascii="Courier New" w:hAnsi="Courier New" w:hint="default"/>
      </w:rPr>
    </w:lvl>
    <w:lvl w:ilvl="2" w:tplc="19FE6762">
      <w:start w:val="1"/>
      <w:numFmt w:val="bullet"/>
      <w:lvlText w:val=""/>
      <w:lvlJc w:val="left"/>
      <w:pPr>
        <w:ind w:left="2160" w:hanging="360"/>
      </w:pPr>
      <w:rPr>
        <w:rFonts w:ascii="Wingdings" w:hAnsi="Wingdings" w:hint="default"/>
      </w:rPr>
    </w:lvl>
    <w:lvl w:ilvl="3" w:tplc="91AE6CF0">
      <w:start w:val="1"/>
      <w:numFmt w:val="bullet"/>
      <w:lvlText w:val=""/>
      <w:lvlJc w:val="left"/>
      <w:pPr>
        <w:ind w:left="2880" w:hanging="360"/>
      </w:pPr>
      <w:rPr>
        <w:rFonts w:ascii="Symbol" w:hAnsi="Symbol" w:hint="default"/>
      </w:rPr>
    </w:lvl>
    <w:lvl w:ilvl="4" w:tplc="A03C962C">
      <w:start w:val="1"/>
      <w:numFmt w:val="bullet"/>
      <w:lvlText w:val="o"/>
      <w:lvlJc w:val="left"/>
      <w:pPr>
        <w:ind w:left="3600" w:hanging="360"/>
      </w:pPr>
      <w:rPr>
        <w:rFonts w:ascii="Courier New" w:hAnsi="Courier New" w:hint="default"/>
      </w:rPr>
    </w:lvl>
    <w:lvl w:ilvl="5" w:tplc="8B223332">
      <w:start w:val="1"/>
      <w:numFmt w:val="bullet"/>
      <w:lvlText w:val=""/>
      <w:lvlJc w:val="left"/>
      <w:pPr>
        <w:ind w:left="4320" w:hanging="360"/>
      </w:pPr>
      <w:rPr>
        <w:rFonts w:ascii="Wingdings" w:hAnsi="Wingdings" w:hint="default"/>
      </w:rPr>
    </w:lvl>
    <w:lvl w:ilvl="6" w:tplc="819A6B98">
      <w:start w:val="1"/>
      <w:numFmt w:val="bullet"/>
      <w:lvlText w:val=""/>
      <w:lvlJc w:val="left"/>
      <w:pPr>
        <w:ind w:left="5040" w:hanging="360"/>
      </w:pPr>
      <w:rPr>
        <w:rFonts w:ascii="Symbol" w:hAnsi="Symbol" w:hint="default"/>
      </w:rPr>
    </w:lvl>
    <w:lvl w:ilvl="7" w:tplc="2DA22E3C">
      <w:start w:val="1"/>
      <w:numFmt w:val="bullet"/>
      <w:lvlText w:val="o"/>
      <w:lvlJc w:val="left"/>
      <w:pPr>
        <w:ind w:left="5760" w:hanging="360"/>
      </w:pPr>
      <w:rPr>
        <w:rFonts w:ascii="Courier New" w:hAnsi="Courier New" w:hint="default"/>
      </w:rPr>
    </w:lvl>
    <w:lvl w:ilvl="8" w:tplc="0430F094">
      <w:start w:val="1"/>
      <w:numFmt w:val="bullet"/>
      <w:lvlText w:val=""/>
      <w:lvlJc w:val="left"/>
      <w:pPr>
        <w:ind w:left="6480" w:hanging="360"/>
      </w:pPr>
      <w:rPr>
        <w:rFonts w:ascii="Wingdings" w:hAnsi="Wingdings" w:hint="default"/>
      </w:rPr>
    </w:lvl>
  </w:abstractNum>
  <w:abstractNum w:abstractNumId="13" w15:restartNumberingAfterBreak="0">
    <w:nsid w:val="54709D74"/>
    <w:multiLevelType w:val="hybridMultilevel"/>
    <w:tmpl w:val="BF129F26"/>
    <w:lvl w:ilvl="0" w:tplc="1584DC78">
      <w:start w:val="1"/>
      <w:numFmt w:val="decimal"/>
      <w:lvlText w:val="%1."/>
      <w:lvlJc w:val="left"/>
      <w:pPr>
        <w:ind w:left="720" w:hanging="360"/>
      </w:pPr>
    </w:lvl>
    <w:lvl w:ilvl="1" w:tplc="9E20C1D4">
      <w:start w:val="1"/>
      <w:numFmt w:val="lowerLetter"/>
      <w:lvlText w:val="%2."/>
      <w:lvlJc w:val="left"/>
      <w:pPr>
        <w:ind w:left="1440" w:hanging="360"/>
      </w:pPr>
    </w:lvl>
    <w:lvl w:ilvl="2" w:tplc="6A8CF482">
      <w:start w:val="1"/>
      <w:numFmt w:val="lowerRoman"/>
      <w:lvlText w:val="%3."/>
      <w:lvlJc w:val="right"/>
      <w:pPr>
        <w:ind w:left="2160" w:hanging="180"/>
      </w:pPr>
    </w:lvl>
    <w:lvl w:ilvl="3" w:tplc="DE6432DC">
      <w:start w:val="1"/>
      <w:numFmt w:val="decimal"/>
      <w:lvlText w:val="%4."/>
      <w:lvlJc w:val="left"/>
      <w:pPr>
        <w:ind w:left="2880" w:hanging="360"/>
      </w:pPr>
    </w:lvl>
    <w:lvl w:ilvl="4" w:tplc="ABC640F6">
      <w:start w:val="1"/>
      <w:numFmt w:val="lowerLetter"/>
      <w:lvlText w:val="%5."/>
      <w:lvlJc w:val="left"/>
      <w:pPr>
        <w:ind w:left="3600" w:hanging="360"/>
      </w:pPr>
    </w:lvl>
    <w:lvl w:ilvl="5" w:tplc="7A347CF0">
      <w:start w:val="1"/>
      <w:numFmt w:val="lowerRoman"/>
      <w:lvlText w:val="%6."/>
      <w:lvlJc w:val="right"/>
      <w:pPr>
        <w:ind w:left="4320" w:hanging="180"/>
      </w:pPr>
    </w:lvl>
    <w:lvl w:ilvl="6" w:tplc="80FA53C4">
      <w:start w:val="1"/>
      <w:numFmt w:val="decimal"/>
      <w:lvlText w:val="%7."/>
      <w:lvlJc w:val="left"/>
      <w:pPr>
        <w:ind w:left="5040" w:hanging="360"/>
      </w:pPr>
    </w:lvl>
    <w:lvl w:ilvl="7" w:tplc="E31E8948">
      <w:start w:val="1"/>
      <w:numFmt w:val="lowerLetter"/>
      <w:lvlText w:val="%8."/>
      <w:lvlJc w:val="left"/>
      <w:pPr>
        <w:ind w:left="5760" w:hanging="360"/>
      </w:pPr>
    </w:lvl>
    <w:lvl w:ilvl="8" w:tplc="137CCC88">
      <w:start w:val="1"/>
      <w:numFmt w:val="lowerRoman"/>
      <w:lvlText w:val="%9."/>
      <w:lvlJc w:val="right"/>
      <w:pPr>
        <w:ind w:left="6480" w:hanging="180"/>
      </w:pPr>
    </w:lvl>
  </w:abstractNum>
  <w:abstractNum w:abstractNumId="14" w15:restartNumberingAfterBreak="0">
    <w:nsid w:val="57B460B8"/>
    <w:multiLevelType w:val="hybridMultilevel"/>
    <w:tmpl w:val="90824BAE"/>
    <w:lvl w:ilvl="0" w:tplc="D0D2993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9CD3F5"/>
    <w:multiLevelType w:val="hybridMultilevel"/>
    <w:tmpl w:val="B0FADAE8"/>
    <w:lvl w:ilvl="0" w:tplc="89B2F1EE">
      <w:start w:val="1"/>
      <w:numFmt w:val="bullet"/>
      <w:lvlText w:val=""/>
      <w:lvlJc w:val="left"/>
      <w:pPr>
        <w:ind w:left="360" w:hanging="360"/>
      </w:pPr>
      <w:rPr>
        <w:rFonts w:ascii="Symbol" w:hAnsi="Symbol" w:hint="default"/>
      </w:rPr>
    </w:lvl>
    <w:lvl w:ilvl="1" w:tplc="F642F7BE">
      <w:start w:val="1"/>
      <w:numFmt w:val="bullet"/>
      <w:lvlText w:val="o"/>
      <w:lvlJc w:val="left"/>
      <w:pPr>
        <w:ind w:left="1080" w:hanging="360"/>
      </w:pPr>
      <w:rPr>
        <w:rFonts w:ascii="Courier New" w:hAnsi="Courier New" w:hint="default"/>
      </w:rPr>
    </w:lvl>
    <w:lvl w:ilvl="2" w:tplc="E6E47A50">
      <w:start w:val="1"/>
      <w:numFmt w:val="bullet"/>
      <w:lvlText w:val=""/>
      <w:lvlJc w:val="left"/>
      <w:pPr>
        <w:ind w:left="1800" w:hanging="360"/>
      </w:pPr>
      <w:rPr>
        <w:rFonts w:ascii="Wingdings" w:hAnsi="Wingdings" w:hint="default"/>
      </w:rPr>
    </w:lvl>
    <w:lvl w:ilvl="3" w:tplc="EB605E1C">
      <w:start w:val="1"/>
      <w:numFmt w:val="bullet"/>
      <w:lvlText w:val=""/>
      <w:lvlJc w:val="left"/>
      <w:pPr>
        <w:ind w:left="2520" w:hanging="360"/>
      </w:pPr>
      <w:rPr>
        <w:rFonts w:ascii="Symbol" w:hAnsi="Symbol" w:hint="default"/>
      </w:rPr>
    </w:lvl>
    <w:lvl w:ilvl="4" w:tplc="E4147292">
      <w:start w:val="1"/>
      <w:numFmt w:val="bullet"/>
      <w:lvlText w:val="o"/>
      <w:lvlJc w:val="left"/>
      <w:pPr>
        <w:ind w:left="3240" w:hanging="360"/>
      </w:pPr>
      <w:rPr>
        <w:rFonts w:ascii="Courier New" w:hAnsi="Courier New" w:hint="default"/>
      </w:rPr>
    </w:lvl>
    <w:lvl w:ilvl="5" w:tplc="D890B6EE">
      <w:start w:val="1"/>
      <w:numFmt w:val="bullet"/>
      <w:lvlText w:val=""/>
      <w:lvlJc w:val="left"/>
      <w:pPr>
        <w:ind w:left="3960" w:hanging="360"/>
      </w:pPr>
      <w:rPr>
        <w:rFonts w:ascii="Wingdings" w:hAnsi="Wingdings" w:hint="default"/>
      </w:rPr>
    </w:lvl>
    <w:lvl w:ilvl="6" w:tplc="5344CE26">
      <w:start w:val="1"/>
      <w:numFmt w:val="bullet"/>
      <w:lvlText w:val=""/>
      <w:lvlJc w:val="left"/>
      <w:pPr>
        <w:ind w:left="4680" w:hanging="360"/>
      </w:pPr>
      <w:rPr>
        <w:rFonts w:ascii="Symbol" w:hAnsi="Symbol" w:hint="default"/>
      </w:rPr>
    </w:lvl>
    <w:lvl w:ilvl="7" w:tplc="2B281F06">
      <w:start w:val="1"/>
      <w:numFmt w:val="bullet"/>
      <w:lvlText w:val="o"/>
      <w:lvlJc w:val="left"/>
      <w:pPr>
        <w:ind w:left="5400" w:hanging="360"/>
      </w:pPr>
      <w:rPr>
        <w:rFonts w:ascii="Courier New" w:hAnsi="Courier New" w:hint="default"/>
      </w:rPr>
    </w:lvl>
    <w:lvl w:ilvl="8" w:tplc="A05C7934">
      <w:start w:val="1"/>
      <w:numFmt w:val="bullet"/>
      <w:lvlText w:val=""/>
      <w:lvlJc w:val="left"/>
      <w:pPr>
        <w:ind w:left="6120" w:hanging="360"/>
      </w:pPr>
      <w:rPr>
        <w:rFonts w:ascii="Wingdings" w:hAnsi="Wingdings" w:hint="default"/>
      </w:rPr>
    </w:lvl>
  </w:abstractNum>
  <w:abstractNum w:abstractNumId="16" w15:restartNumberingAfterBreak="0">
    <w:nsid w:val="6FF41D5B"/>
    <w:multiLevelType w:val="hybridMultilevel"/>
    <w:tmpl w:val="8B303456"/>
    <w:lvl w:ilvl="0" w:tplc="35BCF0B6">
      <w:start w:val="1"/>
      <w:numFmt w:val="decimal"/>
      <w:lvlText w:val="%1."/>
      <w:lvlJc w:val="left"/>
      <w:pPr>
        <w:ind w:left="720" w:hanging="360"/>
      </w:pPr>
    </w:lvl>
    <w:lvl w:ilvl="1" w:tplc="3D2AE600">
      <w:start w:val="1"/>
      <w:numFmt w:val="lowerLetter"/>
      <w:lvlText w:val="%2."/>
      <w:lvlJc w:val="left"/>
      <w:pPr>
        <w:ind w:left="1440" w:hanging="360"/>
      </w:pPr>
    </w:lvl>
    <w:lvl w:ilvl="2" w:tplc="545A6654">
      <w:start w:val="1"/>
      <w:numFmt w:val="lowerRoman"/>
      <w:lvlText w:val="%3."/>
      <w:lvlJc w:val="right"/>
      <w:pPr>
        <w:ind w:left="2160" w:hanging="180"/>
      </w:pPr>
    </w:lvl>
    <w:lvl w:ilvl="3" w:tplc="1F04685E">
      <w:start w:val="1"/>
      <w:numFmt w:val="decimal"/>
      <w:lvlText w:val="%4."/>
      <w:lvlJc w:val="left"/>
      <w:pPr>
        <w:ind w:left="2880" w:hanging="360"/>
      </w:pPr>
    </w:lvl>
    <w:lvl w:ilvl="4" w:tplc="71B81D1C">
      <w:start w:val="1"/>
      <w:numFmt w:val="lowerLetter"/>
      <w:lvlText w:val="%5."/>
      <w:lvlJc w:val="left"/>
      <w:pPr>
        <w:ind w:left="3600" w:hanging="360"/>
      </w:pPr>
    </w:lvl>
    <w:lvl w:ilvl="5" w:tplc="1DB06D78">
      <w:start w:val="1"/>
      <w:numFmt w:val="lowerRoman"/>
      <w:lvlText w:val="%6."/>
      <w:lvlJc w:val="right"/>
      <w:pPr>
        <w:ind w:left="4320" w:hanging="180"/>
      </w:pPr>
    </w:lvl>
    <w:lvl w:ilvl="6" w:tplc="FFA28BBC">
      <w:start w:val="1"/>
      <w:numFmt w:val="decimal"/>
      <w:lvlText w:val="%7."/>
      <w:lvlJc w:val="left"/>
      <w:pPr>
        <w:ind w:left="5040" w:hanging="360"/>
      </w:pPr>
    </w:lvl>
    <w:lvl w:ilvl="7" w:tplc="188E5F30">
      <w:start w:val="1"/>
      <w:numFmt w:val="lowerLetter"/>
      <w:lvlText w:val="%8."/>
      <w:lvlJc w:val="left"/>
      <w:pPr>
        <w:ind w:left="5760" w:hanging="360"/>
      </w:pPr>
    </w:lvl>
    <w:lvl w:ilvl="8" w:tplc="1C96E62C">
      <w:start w:val="1"/>
      <w:numFmt w:val="lowerRoman"/>
      <w:lvlText w:val="%9."/>
      <w:lvlJc w:val="right"/>
      <w:pPr>
        <w:ind w:left="6480" w:hanging="180"/>
      </w:pPr>
    </w:lvl>
  </w:abstractNum>
  <w:num w:numId="1" w16cid:durableId="1557886074">
    <w:abstractNumId w:val="16"/>
  </w:num>
  <w:num w:numId="2" w16cid:durableId="1361123312">
    <w:abstractNumId w:val="11"/>
  </w:num>
  <w:num w:numId="3" w16cid:durableId="2027171117">
    <w:abstractNumId w:val="9"/>
  </w:num>
  <w:num w:numId="4" w16cid:durableId="434448392">
    <w:abstractNumId w:val="13"/>
  </w:num>
  <w:num w:numId="5" w16cid:durableId="1496843827">
    <w:abstractNumId w:val="12"/>
  </w:num>
  <w:num w:numId="6" w16cid:durableId="1276986060">
    <w:abstractNumId w:val="15"/>
  </w:num>
  <w:num w:numId="7" w16cid:durableId="929628444">
    <w:abstractNumId w:val="10"/>
  </w:num>
  <w:num w:numId="8" w16cid:durableId="1008366615">
    <w:abstractNumId w:val="7"/>
  </w:num>
  <w:num w:numId="9" w16cid:durableId="1219048106">
    <w:abstractNumId w:val="0"/>
  </w:num>
  <w:num w:numId="10" w16cid:durableId="1343320077">
    <w:abstractNumId w:val="2"/>
  </w:num>
  <w:num w:numId="11" w16cid:durableId="161815799">
    <w:abstractNumId w:val="3"/>
  </w:num>
  <w:num w:numId="12" w16cid:durableId="1713505221">
    <w:abstractNumId w:val="4"/>
  </w:num>
  <w:num w:numId="13" w16cid:durableId="175076796">
    <w:abstractNumId w:val="8"/>
  </w:num>
  <w:num w:numId="14" w16cid:durableId="1925870046">
    <w:abstractNumId w:val="6"/>
  </w:num>
  <w:num w:numId="15" w16cid:durableId="1949653720">
    <w:abstractNumId w:val="5"/>
  </w:num>
  <w:num w:numId="16" w16cid:durableId="1979534868">
    <w:abstractNumId w:val="1"/>
  </w:num>
  <w:num w:numId="17" w16cid:durableId="56322101">
    <w:abstractNumId w:val="7"/>
  </w:num>
  <w:num w:numId="18" w16cid:durableId="12409908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1AA"/>
    <w:rsid w:val="000121E0"/>
    <w:rsid w:val="00034493"/>
    <w:rsid w:val="00034616"/>
    <w:rsid w:val="00037881"/>
    <w:rsid w:val="0006063C"/>
    <w:rsid w:val="00080A0A"/>
    <w:rsid w:val="00081A2A"/>
    <w:rsid w:val="00096AA4"/>
    <w:rsid w:val="000A45A1"/>
    <w:rsid w:val="000A7E98"/>
    <w:rsid w:val="000B0307"/>
    <w:rsid w:val="000B5269"/>
    <w:rsid w:val="000C4A1B"/>
    <w:rsid w:val="000C5FAB"/>
    <w:rsid w:val="000C77B6"/>
    <w:rsid w:val="000F2AFC"/>
    <w:rsid w:val="0010373F"/>
    <w:rsid w:val="00111196"/>
    <w:rsid w:val="00115667"/>
    <w:rsid w:val="00116031"/>
    <w:rsid w:val="001265E7"/>
    <w:rsid w:val="0015074B"/>
    <w:rsid w:val="00166093"/>
    <w:rsid w:val="001A1611"/>
    <w:rsid w:val="001A4F2A"/>
    <w:rsid w:val="001C6CCF"/>
    <w:rsid w:val="001D65FB"/>
    <w:rsid w:val="001E06E3"/>
    <w:rsid w:val="001F09FA"/>
    <w:rsid w:val="001F30D0"/>
    <w:rsid w:val="001F3C18"/>
    <w:rsid w:val="00207D4F"/>
    <w:rsid w:val="00235252"/>
    <w:rsid w:val="00241FA0"/>
    <w:rsid w:val="00247BD7"/>
    <w:rsid w:val="00250A42"/>
    <w:rsid w:val="0025203D"/>
    <w:rsid w:val="00256216"/>
    <w:rsid w:val="0026094D"/>
    <w:rsid w:val="002637BB"/>
    <w:rsid w:val="00281AD6"/>
    <w:rsid w:val="00293090"/>
    <w:rsid w:val="0029639D"/>
    <w:rsid w:val="002A3417"/>
    <w:rsid w:val="002B6BCD"/>
    <w:rsid w:val="002C322C"/>
    <w:rsid w:val="002C4F62"/>
    <w:rsid w:val="002D41C7"/>
    <w:rsid w:val="002E54F8"/>
    <w:rsid w:val="0032299F"/>
    <w:rsid w:val="003232C1"/>
    <w:rsid w:val="00326F90"/>
    <w:rsid w:val="003316B9"/>
    <w:rsid w:val="00335A95"/>
    <w:rsid w:val="00340076"/>
    <w:rsid w:val="003466CA"/>
    <w:rsid w:val="003559D6"/>
    <w:rsid w:val="0035CB1D"/>
    <w:rsid w:val="00365ACC"/>
    <w:rsid w:val="00373DBB"/>
    <w:rsid w:val="0038416C"/>
    <w:rsid w:val="00386D96"/>
    <w:rsid w:val="003A042C"/>
    <w:rsid w:val="003C4615"/>
    <w:rsid w:val="003D05CC"/>
    <w:rsid w:val="003D6E80"/>
    <w:rsid w:val="003E5751"/>
    <w:rsid w:val="00401ACD"/>
    <w:rsid w:val="004058B8"/>
    <w:rsid w:val="00413386"/>
    <w:rsid w:val="00414032"/>
    <w:rsid w:val="00415089"/>
    <w:rsid w:val="0042282A"/>
    <w:rsid w:val="0042678A"/>
    <w:rsid w:val="004309F4"/>
    <w:rsid w:val="00432232"/>
    <w:rsid w:val="004346AA"/>
    <w:rsid w:val="004516BB"/>
    <w:rsid w:val="00454306"/>
    <w:rsid w:val="0048003D"/>
    <w:rsid w:val="004818BB"/>
    <w:rsid w:val="0048698C"/>
    <w:rsid w:val="00490DC5"/>
    <w:rsid w:val="004A6C49"/>
    <w:rsid w:val="004B33C9"/>
    <w:rsid w:val="004B6E7E"/>
    <w:rsid w:val="004F3CF2"/>
    <w:rsid w:val="00507E8F"/>
    <w:rsid w:val="0051318F"/>
    <w:rsid w:val="0051687E"/>
    <w:rsid w:val="00523870"/>
    <w:rsid w:val="00542A3E"/>
    <w:rsid w:val="00553C8E"/>
    <w:rsid w:val="0055597F"/>
    <w:rsid w:val="00564B3D"/>
    <w:rsid w:val="00566C18"/>
    <w:rsid w:val="00590849"/>
    <w:rsid w:val="005B4E63"/>
    <w:rsid w:val="005D4C53"/>
    <w:rsid w:val="005F3299"/>
    <w:rsid w:val="005F5217"/>
    <w:rsid w:val="00622FE7"/>
    <w:rsid w:val="006260A3"/>
    <w:rsid w:val="00643A4A"/>
    <w:rsid w:val="00653859"/>
    <w:rsid w:val="0067245F"/>
    <w:rsid w:val="006726FE"/>
    <w:rsid w:val="00684DA1"/>
    <w:rsid w:val="00695026"/>
    <w:rsid w:val="006A3B82"/>
    <w:rsid w:val="006A5FF5"/>
    <w:rsid w:val="006A7491"/>
    <w:rsid w:val="006B398A"/>
    <w:rsid w:val="006D2EF3"/>
    <w:rsid w:val="006E1E2D"/>
    <w:rsid w:val="00707F66"/>
    <w:rsid w:val="00736A1F"/>
    <w:rsid w:val="0077179C"/>
    <w:rsid w:val="007823A8"/>
    <w:rsid w:val="007B3993"/>
    <w:rsid w:val="007B3B0C"/>
    <w:rsid w:val="007B6C5D"/>
    <w:rsid w:val="007C18DC"/>
    <w:rsid w:val="007E5649"/>
    <w:rsid w:val="007F3B85"/>
    <w:rsid w:val="008015FE"/>
    <w:rsid w:val="00840CF2"/>
    <w:rsid w:val="00857486"/>
    <w:rsid w:val="00860340"/>
    <w:rsid w:val="00860720"/>
    <w:rsid w:val="00881809"/>
    <w:rsid w:val="008F3950"/>
    <w:rsid w:val="00906660"/>
    <w:rsid w:val="0091780B"/>
    <w:rsid w:val="0093550E"/>
    <w:rsid w:val="00956357"/>
    <w:rsid w:val="009624EA"/>
    <w:rsid w:val="00964C28"/>
    <w:rsid w:val="00990043"/>
    <w:rsid w:val="009948A5"/>
    <w:rsid w:val="009B105B"/>
    <w:rsid w:val="009C4011"/>
    <w:rsid w:val="009F0316"/>
    <w:rsid w:val="009F5367"/>
    <w:rsid w:val="00A0783E"/>
    <w:rsid w:val="00A13338"/>
    <w:rsid w:val="00A63051"/>
    <w:rsid w:val="00A63A66"/>
    <w:rsid w:val="00A64C97"/>
    <w:rsid w:val="00A77310"/>
    <w:rsid w:val="00A77E70"/>
    <w:rsid w:val="00A96633"/>
    <w:rsid w:val="00AA1D8D"/>
    <w:rsid w:val="00AC1DE2"/>
    <w:rsid w:val="00AC516D"/>
    <w:rsid w:val="00AD0C97"/>
    <w:rsid w:val="00B06B57"/>
    <w:rsid w:val="00B10796"/>
    <w:rsid w:val="00B30DE1"/>
    <w:rsid w:val="00B33584"/>
    <w:rsid w:val="00B35F07"/>
    <w:rsid w:val="00B43A44"/>
    <w:rsid w:val="00B47730"/>
    <w:rsid w:val="00B47E78"/>
    <w:rsid w:val="00B62229"/>
    <w:rsid w:val="00B742BE"/>
    <w:rsid w:val="00B75A93"/>
    <w:rsid w:val="00B97C27"/>
    <w:rsid w:val="00BA7B55"/>
    <w:rsid w:val="00BB6C46"/>
    <w:rsid w:val="00BC1482"/>
    <w:rsid w:val="00BE0C4B"/>
    <w:rsid w:val="00BE6A92"/>
    <w:rsid w:val="00BE7682"/>
    <w:rsid w:val="00BF11DB"/>
    <w:rsid w:val="00BF14D8"/>
    <w:rsid w:val="00BF32D7"/>
    <w:rsid w:val="00C203A4"/>
    <w:rsid w:val="00C929EB"/>
    <w:rsid w:val="00C9403E"/>
    <w:rsid w:val="00C9662C"/>
    <w:rsid w:val="00C971F9"/>
    <w:rsid w:val="00CA68C9"/>
    <w:rsid w:val="00CB0664"/>
    <w:rsid w:val="00CC0F00"/>
    <w:rsid w:val="00CC1677"/>
    <w:rsid w:val="00CD491B"/>
    <w:rsid w:val="00CD7C17"/>
    <w:rsid w:val="00CE7610"/>
    <w:rsid w:val="00D1521F"/>
    <w:rsid w:val="00D424E6"/>
    <w:rsid w:val="00D43716"/>
    <w:rsid w:val="00D46CE8"/>
    <w:rsid w:val="00D53B38"/>
    <w:rsid w:val="00D924EE"/>
    <w:rsid w:val="00DC5A7F"/>
    <w:rsid w:val="00DC696C"/>
    <w:rsid w:val="00DE3E57"/>
    <w:rsid w:val="00DF7C34"/>
    <w:rsid w:val="00E01CA5"/>
    <w:rsid w:val="00E03AA4"/>
    <w:rsid w:val="00E3518B"/>
    <w:rsid w:val="00E37E88"/>
    <w:rsid w:val="00E52D25"/>
    <w:rsid w:val="00E55DB2"/>
    <w:rsid w:val="00E65A61"/>
    <w:rsid w:val="00E6678C"/>
    <w:rsid w:val="00E7164B"/>
    <w:rsid w:val="00E71FEB"/>
    <w:rsid w:val="00E92826"/>
    <w:rsid w:val="00E93A25"/>
    <w:rsid w:val="00E96B14"/>
    <w:rsid w:val="00EB6714"/>
    <w:rsid w:val="00EC4A8B"/>
    <w:rsid w:val="00EF053C"/>
    <w:rsid w:val="00F06489"/>
    <w:rsid w:val="00F10A85"/>
    <w:rsid w:val="00F26177"/>
    <w:rsid w:val="00F446D4"/>
    <w:rsid w:val="00F64093"/>
    <w:rsid w:val="00F82193"/>
    <w:rsid w:val="00F84E7C"/>
    <w:rsid w:val="00F8601D"/>
    <w:rsid w:val="00FA4986"/>
    <w:rsid w:val="00FC1C4F"/>
    <w:rsid w:val="00FC4574"/>
    <w:rsid w:val="00FC457C"/>
    <w:rsid w:val="00FC693F"/>
    <w:rsid w:val="00FE19FD"/>
    <w:rsid w:val="00FF63F1"/>
    <w:rsid w:val="049EA7BA"/>
    <w:rsid w:val="065783A3"/>
    <w:rsid w:val="0A08FAF9"/>
    <w:rsid w:val="0F33E34C"/>
    <w:rsid w:val="106E73C6"/>
    <w:rsid w:val="1377697B"/>
    <w:rsid w:val="144BA2E7"/>
    <w:rsid w:val="1602B90F"/>
    <w:rsid w:val="18B16316"/>
    <w:rsid w:val="1B7E467C"/>
    <w:rsid w:val="1F0FA764"/>
    <w:rsid w:val="1FE61F63"/>
    <w:rsid w:val="20C87A8F"/>
    <w:rsid w:val="2764362D"/>
    <w:rsid w:val="28C2AE32"/>
    <w:rsid w:val="2A345DBE"/>
    <w:rsid w:val="30B1FB26"/>
    <w:rsid w:val="31B4F70C"/>
    <w:rsid w:val="321B029B"/>
    <w:rsid w:val="3435CD29"/>
    <w:rsid w:val="353D37C8"/>
    <w:rsid w:val="38350360"/>
    <w:rsid w:val="38CA8577"/>
    <w:rsid w:val="398ADB6C"/>
    <w:rsid w:val="3A6615D7"/>
    <w:rsid w:val="3B38EAA0"/>
    <w:rsid w:val="3E84CB4B"/>
    <w:rsid w:val="401565CC"/>
    <w:rsid w:val="4285D65D"/>
    <w:rsid w:val="4650930A"/>
    <w:rsid w:val="482BB210"/>
    <w:rsid w:val="53F37F5F"/>
    <w:rsid w:val="56383DCD"/>
    <w:rsid w:val="57752DCB"/>
    <w:rsid w:val="5C58C14B"/>
    <w:rsid w:val="60DD34D6"/>
    <w:rsid w:val="62822687"/>
    <w:rsid w:val="64F3CE6C"/>
    <w:rsid w:val="663122CF"/>
    <w:rsid w:val="68321AD7"/>
    <w:rsid w:val="69AE765A"/>
    <w:rsid w:val="69DB2CEE"/>
    <w:rsid w:val="6BDE76CC"/>
    <w:rsid w:val="6DEA2150"/>
    <w:rsid w:val="713ED0EE"/>
    <w:rsid w:val="7172847E"/>
    <w:rsid w:val="71B52D83"/>
    <w:rsid w:val="7834209F"/>
    <w:rsid w:val="7AEC95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BC9E22"/>
  <w14:defaultImageDpi w14:val="300"/>
  <w15:docId w15:val="{CE57831C-A779-4C4F-898D-F39BCAF4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5" w:lineRule="auto"/>
    </w:pPr>
    <w:rPr>
      <w:rFonts w:ascii="Calibri" w:hAnsi="Calibri"/>
      <w:color w:val="000000"/>
      <w:lang w:val="es-US"/>
    </w:rPr>
  </w:style>
  <w:style w:type="paragraph" w:styleId="Heading1">
    <w:name w:val="heading 1"/>
    <w:basedOn w:val="Normal"/>
    <w:next w:val="Normal"/>
    <w:link w:val="Heading1Char"/>
    <w:uiPriority w:val="9"/>
    <w:qFormat/>
    <w:rsid w:val="144BA2E7"/>
    <w:pPr>
      <w:keepNext/>
      <w:keepLines/>
      <w:spacing w:before="140" w:after="60"/>
      <w:outlineLvl w:val="0"/>
    </w:pPr>
    <w:rPr>
      <w:rFonts w:asciiTheme="majorHAnsi" w:eastAsiaTheme="majorEastAsia" w:hAnsiTheme="majorHAnsi" w:cstheme="majorBidi"/>
      <w:b/>
      <w:bCs/>
      <w:sz w:val="24"/>
      <w:szCs w:val="24"/>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144BA2E7"/>
    <w:pPr>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144BA2E7"/>
    <w:pPr>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144BA2E7"/>
    <w:rPr>
      <w:rFonts w:asciiTheme="majorHAnsi" w:eastAsiaTheme="majorEastAsia" w:hAnsiTheme="majorHAnsi" w:cstheme="majorBidi"/>
      <w:b/>
      <w:bCs/>
      <w:noProof w:val="0"/>
      <w:color w:val="000000" w:themeColor="text1"/>
      <w:sz w:val="24"/>
      <w:szCs w:val="24"/>
      <w:lang w:val="en-US"/>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3"/>
      </w:numPr>
      <w:ind w:left="216" w:hanging="216"/>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5"/>
      </w:numPr>
      <w:contextualSpacing/>
    </w:pPr>
  </w:style>
  <w:style w:type="paragraph" w:styleId="ListNumber">
    <w:name w:val="List Number"/>
    <w:basedOn w:val="Normal"/>
    <w:uiPriority w:val="99"/>
    <w:unhideWhenUsed/>
    <w:rsid w:val="00326F90"/>
    <w:pPr>
      <w:numPr>
        <w:numId w:val="8"/>
      </w:numPr>
      <w:ind w:left="216" w:hanging="216"/>
      <w:contextualSpacing/>
    </w:pPr>
  </w:style>
  <w:style w:type="paragraph" w:styleId="ListNumber2">
    <w:name w:val="List Number 2"/>
    <w:basedOn w:val="Normal"/>
    <w:uiPriority w:val="99"/>
    <w:unhideWhenUsed/>
    <w:rsid w:val="0029639D"/>
    <w:pPr>
      <w:numPr>
        <w:numId w:val="11"/>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144BA2E7"/>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57486"/>
    <w:rPr>
      <w:color w:val="0000FF" w:themeColor="hyperlink"/>
      <w:u w:val="single"/>
    </w:rPr>
  </w:style>
  <w:style w:type="character" w:styleId="UnresolvedMention">
    <w:name w:val="Unresolved Mention"/>
    <w:basedOn w:val="DefaultParagraphFont"/>
    <w:uiPriority w:val="99"/>
    <w:semiHidden/>
    <w:unhideWhenUsed/>
    <w:rsid w:val="00857486"/>
    <w:rPr>
      <w:color w:val="605E5C"/>
      <w:shd w:val="clear" w:color="auto" w:fill="E1DFDD"/>
    </w:rPr>
  </w:style>
  <w:style w:type="character" w:styleId="CommentReference">
    <w:name w:val="annotation reference"/>
    <w:basedOn w:val="DefaultParagraphFont"/>
    <w:uiPriority w:val="99"/>
    <w:semiHidden/>
    <w:unhideWhenUsed/>
    <w:rsid w:val="00D53B38"/>
    <w:rPr>
      <w:sz w:val="16"/>
      <w:szCs w:val="16"/>
    </w:rPr>
  </w:style>
  <w:style w:type="paragraph" w:styleId="CommentText">
    <w:name w:val="annotation text"/>
    <w:basedOn w:val="Normal"/>
    <w:link w:val="CommentTextChar"/>
    <w:uiPriority w:val="99"/>
    <w:unhideWhenUsed/>
    <w:rsid w:val="00D53B38"/>
    <w:pPr>
      <w:spacing w:line="240" w:lineRule="auto"/>
    </w:pPr>
    <w:rPr>
      <w:sz w:val="20"/>
      <w:szCs w:val="20"/>
    </w:rPr>
  </w:style>
  <w:style w:type="character" w:customStyle="1" w:styleId="CommentTextChar">
    <w:name w:val="Comment Text Char"/>
    <w:basedOn w:val="DefaultParagraphFont"/>
    <w:link w:val="CommentText"/>
    <w:uiPriority w:val="99"/>
    <w:rsid w:val="00D53B38"/>
    <w:rPr>
      <w:rFonts w:ascii="Calibri" w:hAnsi="Calibri"/>
      <w:color w:val="000000"/>
      <w:sz w:val="20"/>
      <w:szCs w:val="20"/>
    </w:rPr>
  </w:style>
  <w:style w:type="paragraph" w:styleId="CommentSubject">
    <w:name w:val="annotation subject"/>
    <w:basedOn w:val="CommentText"/>
    <w:next w:val="CommentText"/>
    <w:link w:val="CommentSubjectChar"/>
    <w:uiPriority w:val="99"/>
    <w:semiHidden/>
    <w:unhideWhenUsed/>
    <w:rsid w:val="00D53B38"/>
    <w:rPr>
      <w:b/>
      <w:bCs/>
    </w:rPr>
  </w:style>
  <w:style w:type="character" w:customStyle="1" w:styleId="CommentSubjectChar">
    <w:name w:val="Comment Subject Char"/>
    <w:basedOn w:val="CommentTextChar"/>
    <w:link w:val="CommentSubject"/>
    <w:uiPriority w:val="99"/>
    <w:semiHidden/>
    <w:rsid w:val="00D53B38"/>
    <w:rPr>
      <w:rFonts w:ascii="Calibri" w:hAnsi="Calibri"/>
      <w:b/>
      <w:bCs/>
      <w:color w:val="000000"/>
      <w:sz w:val="20"/>
      <w:szCs w:val="20"/>
    </w:rPr>
  </w:style>
  <w:style w:type="paragraph" w:styleId="Revision">
    <w:name w:val="Revision"/>
    <w:hidden/>
    <w:uiPriority w:val="99"/>
    <w:semiHidden/>
    <w:rsid w:val="00D53B38"/>
    <w:pPr>
      <w:spacing w:after="0" w:line="240" w:lineRule="auto"/>
    </w:pPr>
    <w:rPr>
      <w:rFonts w:ascii="Calibri" w:hAnsi="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acchelp.org/wp-content/uploads/2023/11/FY-2024-TA-Brief-Stevens-Amendment-FINAL-approved.pdf?utm_source=chatgpt.com" TargetMode="External"/><Relationship Id="rId13" Type="http://schemas.openxmlformats.org/officeDocument/2006/relationships/hyperlink" Target="https://itacchelp.org/wp-content/uploads/2023/11/FY-2024-TA-Brief-Stevens-Amendment-FINAL-approved.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hhs.gov/sites/default/files/hhs-grants-policy-statement-oct-2025.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l.gov/grants/managing-grant" TargetMode="External"/><Relationship Id="rId5" Type="http://schemas.openxmlformats.org/officeDocument/2006/relationships/webSettings" Target="webSettings.xml"/><Relationship Id="rId15" Type="http://schemas.openxmlformats.org/officeDocument/2006/relationships/hyperlink" Target="https://www.ILTTACenter.org" TargetMode="External"/><Relationship Id="rId23" Type="http://schemas.openxmlformats.org/officeDocument/2006/relationships/theme" Target="theme/theme1.xml"/><Relationship Id="rId10" Type="http://schemas.openxmlformats.org/officeDocument/2006/relationships/hyperlink" Target="https://itacchelp.org/wp-content/uploads/2023/11/FY-2024-TA-Brief-Stevens-Amendment-FINAL-approved.pdf"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acl.gov/grants/managing-grant" TargetMode="External"/><Relationship Id="rId14" Type="http://schemas.openxmlformats.org/officeDocument/2006/relationships/hyperlink" Target="mailto:ilttacenter@mso.umt.edu"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1713</Words>
  <Characters>10302</Characters>
  <Application>Microsoft Office Word</Application>
  <DocSecurity>0</DocSecurity>
  <Lines>160</Lines>
  <Paragraphs>71</Paragraphs>
  <ScaleCrop>false</ScaleCrop>
  <Manager/>
  <Company/>
  <LinksUpToDate>false</LinksUpToDate>
  <CharactersWithSpaces>11944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Updating grantee websites</dc:title>
  <dc:subject>ACL funding acknowledgments and the Stevens Amendment</dc:subject>
  <dc:creator>IL T&amp;TA Center</dc:creator>
  <cp:keywords/>
  <dc:description>generated by python-docx</dc:description>
  <cp:lastModifiedBy>Morris, Tyler</cp:lastModifiedBy>
  <cp:revision>2</cp:revision>
  <dcterms:created xsi:type="dcterms:W3CDTF">2026-10-07T15:20:00Z</dcterms:created>
  <dcterms:modified xsi:type="dcterms:W3CDTF">2026-10-07T15:20:00Z</dcterms:modified>
  <cp:category/>
</cp:coreProperties>
</file>